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3DC5D" w14:textId="162DCFA1" w:rsidR="00FC1A38" w:rsidRPr="009D7315" w:rsidRDefault="005E44BD">
      <w:pPr>
        <w:spacing w:before="58"/>
        <w:ind w:left="120" w:right="119"/>
        <w:rPr>
          <w:rFonts w:ascii="Arial" w:eastAsia="Arial" w:hAnsi="Arial" w:cs="Arial"/>
          <w:color w:val="0000FF"/>
          <w:sz w:val="24"/>
          <w:szCs w:val="24"/>
        </w:rPr>
      </w:pPr>
      <w:r>
        <w:rPr>
          <w:rFonts w:ascii="Arial" w:eastAsia="Arial" w:hAnsi="Arial" w:cs="Arial"/>
          <w:b/>
          <w:bCs/>
          <w:sz w:val="24"/>
          <w:szCs w:val="24"/>
        </w:rPr>
        <w:t>Grant Opportunity</w:t>
      </w:r>
      <w:r>
        <w:rPr>
          <w:rFonts w:ascii="Arial" w:eastAsia="Arial" w:hAnsi="Arial" w:cs="Arial"/>
          <w:b/>
          <w:bCs/>
          <w:spacing w:val="-3"/>
          <w:sz w:val="24"/>
          <w:szCs w:val="24"/>
        </w:rPr>
        <w:t xml:space="preserve"> </w:t>
      </w:r>
      <w:r>
        <w:rPr>
          <w:rFonts w:ascii="Arial" w:eastAsia="Arial" w:hAnsi="Arial" w:cs="Arial"/>
          <w:b/>
          <w:bCs/>
          <w:sz w:val="24"/>
          <w:szCs w:val="24"/>
        </w:rPr>
        <w:t>–</w:t>
      </w:r>
      <w:r>
        <w:rPr>
          <w:rFonts w:ascii="Arial" w:eastAsia="Arial" w:hAnsi="Arial" w:cs="Arial"/>
          <w:b/>
          <w:bCs/>
          <w:spacing w:val="1"/>
          <w:sz w:val="24"/>
          <w:szCs w:val="24"/>
        </w:rPr>
        <w:t xml:space="preserve"> </w:t>
      </w:r>
      <w:r w:rsidR="00C81D6E">
        <w:rPr>
          <w:rFonts w:ascii="Arial" w:eastAsia="Arial" w:hAnsi="Arial" w:cs="Arial"/>
          <w:b/>
          <w:bCs/>
          <w:color w:val="0000FF"/>
          <w:sz w:val="24"/>
          <w:szCs w:val="24"/>
        </w:rPr>
        <w:t>N</w:t>
      </w:r>
      <w:r w:rsidR="00F31033">
        <w:rPr>
          <w:rFonts w:ascii="Arial" w:eastAsia="Arial" w:hAnsi="Arial" w:cs="Arial"/>
          <w:b/>
          <w:bCs/>
          <w:color w:val="0000FF"/>
          <w:sz w:val="24"/>
          <w:szCs w:val="24"/>
        </w:rPr>
        <w:t>evada</w:t>
      </w:r>
      <w:r w:rsidR="00C81D6E">
        <w:rPr>
          <w:rFonts w:ascii="Arial" w:eastAsia="Arial" w:hAnsi="Arial" w:cs="Arial"/>
          <w:b/>
          <w:bCs/>
          <w:color w:val="0000FF"/>
          <w:sz w:val="24"/>
          <w:szCs w:val="24"/>
        </w:rPr>
        <w:t xml:space="preserve"> Big Game </w:t>
      </w:r>
      <w:r w:rsidR="00F31033">
        <w:rPr>
          <w:rFonts w:ascii="Arial" w:eastAsia="Arial" w:hAnsi="Arial" w:cs="Arial"/>
          <w:b/>
          <w:bCs/>
          <w:color w:val="0000FF"/>
          <w:sz w:val="24"/>
          <w:szCs w:val="24"/>
        </w:rPr>
        <w:t xml:space="preserve">Trophy </w:t>
      </w:r>
      <w:r w:rsidR="00C81D6E">
        <w:rPr>
          <w:rFonts w:ascii="Arial" w:eastAsia="Arial" w:hAnsi="Arial" w:cs="Arial"/>
          <w:b/>
          <w:bCs/>
          <w:color w:val="0000FF"/>
          <w:sz w:val="24"/>
          <w:szCs w:val="24"/>
        </w:rPr>
        <w:t>Record</w:t>
      </w:r>
      <w:r w:rsidR="00F31033">
        <w:rPr>
          <w:rFonts w:ascii="Arial" w:eastAsia="Arial" w:hAnsi="Arial" w:cs="Arial"/>
          <w:b/>
          <w:bCs/>
          <w:color w:val="0000FF"/>
          <w:sz w:val="24"/>
          <w:szCs w:val="24"/>
        </w:rPr>
        <w:t>s</w:t>
      </w:r>
      <w:r w:rsidR="00C81D6E">
        <w:rPr>
          <w:rFonts w:ascii="Arial" w:eastAsia="Arial" w:hAnsi="Arial" w:cs="Arial"/>
          <w:b/>
          <w:bCs/>
          <w:color w:val="0000FF"/>
          <w:sz w:val="24"/>
          <w:szCs w:val="24"/>
        </w:rPr>
        <w:t xml:space="preserve"> Analysis </w:t>
      </w:r>
      <w:r w:rsidRPr="009D7315">
        <w:rPr>
          <w:rFonts w:ascii="Arial" w:eastAsia="Arial" w:hAnsi="Arial" w:cs="Arial"/>
          <w:b/>
          <w:bCs/>
          <w:color w:val="0000FF"/>
          <w:sz w:val="24"/>
          <w:szCs w:val="24"/>
        </w:rPr>
        <w:t xml:space="preserve"> </w:t>
      </w:r>
    </w:p>
    <w:p w14:paraId="5B49C06A" w14:textId="77777777" w:rsidR="00FC1A38" w:rsidRPr="009D7315" w:rsidRDefault="00FC1A38">
      <w:pPr>
        <w:spacing w:before="11"/>
        <w:rPr>
          <w:rFonts w:ascii="Arial" w:eastAsia="Arial" w:hAnsi="Arial" w:cs="Arial"/>
          <w:b/>
          <w:bCs/>
          <w:sz w:val="21"/>
          <w:szCs w:val="21"/>
        </w:rPr>
      </w:pPr>
    </w:p>
    <w:p w14:paraId="37677A2D" w14:textId="411D92B2" w:rsidR="00FC1A38" w:rsidRPr="009D7315" w:rsidRDefault="005E44BD" w:rsidP="007F4DF3">
      <w:pPr>
        <w:pStyle w:val="BodyText"/>
        <w:ind w:left="120" w:right="118"/>
        <w:jc w:val="both"/>
        <w:rPr>
          <w:color w:val="3333FF"/>
        </w:rPr>
      </w:pPr>
      <w:r w:rsidRPr="009D7315">
        <w:t xml:space="preserve">The Nevada Department of Wildlife (NDOW) has received </w:t>
      </w:r>
      <w:r w:rsidR="00EC68D1" w:rsidRPr="009D7315">
        <w:rPr>
          <w:color w:val="3333FF"/>
        </w:rPr>
        <w:t>Federal</w:t>
      </w:r>
      <w:r w:rsidRPr="009D7315">
        <w:rPr>
          <w:color w:val="3333FF"/>
        </w:rPr>
        <w:t xml:space="preserve"> </w:t>
      </w:r>
      <w:r w:rsidR="00EC68D1" w:rsidRPr="009D7315">
        <w:rPr>
          <w:color w:val="3333FF"/>
        </w:rPr>
        <w:t xml:space="preserve">Grant </w:t>
      </w:r>
      <w:r w:rsidRPr="009D7315">
        <w:rPr>
          <w:color w:val="3333FF"/>
        </w:rPr>
        <w:t>funding for</w:t>
      </w:r>
      <w:r w:rsidR="00C81D6E">
        <w:rPr>
          <w:color w:val="3333FF"/>
        </w:rPr>
        <w:t xml:space="preserve"> </w:t>
      </w:r>
      <w:r w:rsidR="001948BA">
        <w:rPr>
          <w:color w:val="3333FF"/>
        </w:rPr>
        <w:t xml:space="preserve">the </w:t>
      </w:r>
      <w:r w:rsidR="00C81D6E">
        <w:rPr>
          <w:color w:val="3333FF"/>
        </w:rPr>
        <w:t xml:space="preserve">statistical analysis of trophy records for various big game species including elk, mule deer, pronghorn antelope, and bighorn sheep. </w:t>
      </w:r>
    </w:p>
    <w:p w14:paraId="17C6D7C2" w14:textId="77777777" w:rsidR="00FC1A38" w:rsidRPr="009D7315" w:rsidRDefault="00FC1A38" w:rsidP="007F4DF3">
      <w:pPr>
        <w:pStyle w:val="BodyText"/>
        <w:ind w:left="120" w:right="118"/>
        <w:jc w:val="both"/>
      </w:pPr>
    </w:p>
    <w:p w14:paraId="424FE4EC" w14:textId="62BADE46" w:rsidR="00FC1A38" w:rsidRPr="009D7315" w:rsidRDefault="005E44BD">
      <w:pPr>
        <w:pStyle w:val="BodyText"/>
        <w:ind w:left="120" w:right="118"/>
        <w:jc w:val="both"/>
      </w:pPr>
      <w:r w:rsidRPr="009D7315">
        <w:t xml:space="preserve">Proposals are due no later than </w:t>
      </w:r>
      <w:r w:rsidR="00995E57">
        <w:rPr>
          <w:color w:val="0000FF"/>
        </w:rPr>
        <w:t>October</w:t>
      </w:r>
      <w:r w:rsidR="00930B00">
        <w:rPr>
          <w:color w:val="0000FF"/>
        </w:rPr>
        <w:t xml:space="preserve"> </w:t>
      </w:r>
      <w:r w:rsidR="00C81D6E">
        <w:rPr>
          <w:color w:val="0000FF"/>
        </w:rPr>
        <w:t>1, 202</w:t>
      </w:r>
      <w:r w:rsidR="00326B25">
        <w:rPr>
          <w:color w:val="0000FF"/>
        </w:rPr>
        <w:t>5</w:t>
      </w:r>
      <w:r w:rsidRPr="009D7315">
        <w:t xml:space="preserve">. Grant proposals and any questions should be submitted to the Nevada Department of </w:t>
      </w:r>
      <w:r w:rsidR="00EC68D1" w:rsidRPr="009D7315">
        <w:t xml:space="preserve">Wildlife </w:t>
      </w:r>
      <w:r w:rsidR="00C81D6E">
        <w:rPr>
          <w:color w:val="3333FF"/>
        </w:rPr>
        <w:t xml:space="preserve">Staff Specialist, Cody Schroeder, </w:t>
      </w:r>
      <w:hyperlink r:id="rId8" w:history="1">
        <w:r w:rsidR="00C81D6E" w:rsidRPr="00F473A0">
          <w:rPr>
            <w:rStyle w:val="Hyperlink"/>
          </w:rPr>
          <w:t>cschroeder@ndow.org</w:t>
        </w:r>
      </w:hyperlink>
      <w:r w:rsidR="00C81D6E">
        <w:rPr>
          <w:color w:val="3333FF"/>
        </w:rPr>
        <w:t>, 775-688-1659.</w:t>
      </w:r>
    </w:p>
    <w:p w14:paraId="0E0E1B76" w14:textId="77777777" w:rsidR="00FC1A38" w:rsidRPr="009D7315" w:rsidRDefault="00FC1A38">
      <w:pPr>
        <w:spacing w:before="9"/>
        <w:rPr>
          <w:rFonts w:ascii="Arial" w:eastAsia="Arial" w:hAnsi="Arial"/>
        </w:rPr>
      </w:pPr>
    </w:p>
    <w:p w14:paraId="4E403CA8" w14:textId="77777777" w:rsidR="00FC1A38" w:rsidRDefault="005E44BD">
      <w:pPr>
        <w:pStyle w:val="BodyText"/>
        <w:spacing w:before="71" w:line="252" w:lineRule="exact"/>
        <w:ind w:left="120"/>
      </w:pPr>
      <w:r w:rsidRPr="009D7315">
        <w:rPr>
          <w:u w:val="single" w:color="000000"/>
        </w:rPr>
        <w:t>Grant</w:t>
      </w:r>
      <w:r w:rsidRPr="009D7315">
        <w:rPr>
          <w:spacing w:val="-15"/>
          <w:u w:val="single" w:color="000000"/>
        </w:rPr>
        <w:t xml:space="preserve"> </w:t>
      </w:r>
      <w:r w:rsidRPr="009D7315">
        <w:rPr>
          <w:u w:val="single" w:color="000000"/>
        </w:rPr>
        <w:t>Application</w:t>
      </w:r>
      <w:r w:rsidRPr="009D7315">
        <w:rPr>
          <w:spacing w:val="-14"/>
          <w:u w:val="single" w:color="000000"/>
        </w:rPr>
        <w:t xml:space="preserve"> </w:t>
      </w:r>
      <w:r w:rsidRPr="009D7315">
        <w:rPr>
          <w:u w:val="single" w:color="000000"/>
        </w:rPr>
        <w:t>Instructions</w:t>
      </w:r>
    </w:p>
    <w:p w14:paraId="7FD53C3B" w14:textId="0FC679E5" w:rsidR="008D53B2" w:rsidRDefault="005E44BD">
      <w:pPr>
        <w:pStyle w:val="BodyText"/>
        <w:ind w:left="120" w:right="118"/>
        <w:jc w:val="both"/>
        <w:rPr>
          <w:spacing w:val="19"/>
        </w:rPr>
      </w:pPr>
      <w:r w:rsidRPr="009D7315">
        <w:t>Please</w:t>
      </w:r>
      <w:r w:rsidRPr="009D7315">
        <w:rPr>
          <w:spacing w:val="38"/>
        </w:rPr>
        <w:t xml:space="preserve"> </w:t>
      </w:r>
      <w:r w:rsidRPr="009D7315">
        <w:t>find</w:t>
      </w:r>
      <w:r w:rsidRPr="009D7315">
        <w:rPr>
          <w:spacing w:val="38"/>
        </w:rPr>
        <w:t xml:space="preserve"> </w:t>
      </w:r>
      <w:r w:rsidRPr="009D7315">
        <w:t>a</w:t>
      </w:r>
      <w:r w:rsidRPr="009D7315">
        <w:rPr>
          <w:spacing w:val="39"/>
        </w:rPr>
        <w:t xml:space="preserve"> </w:t>
      </w:r>
      <w:r w:rsidRPr="009D7315">
        <w:rPr>
          <w:spacing w:val="-1"/>
        </w:rPr>
        <w:t>Scope</w:t>
      </w:r>
      <w:r w:rsidRPr="009D7315">
        <w:rPr>
          <w:spacing w:val="39"/>
        </w:rPr>
        <w:t xml:space="preserve"> </w:t>
      </w:r>
      <w:r w:rsidRPr="009D7315">
        <w:t>of</w:t>
      </w:r>
      <w:r w:rsidRPr="009D7315">
        <w:rPr>
          <w:spacing w:val="39"/>
        </w:rPr>
        <w:t xml:space="preserve"> </w:t>
      </w:r>
      <w:r w:rsidRPr="009D7315">
        <w:t>Work</w:t>
      </w:r>
      <w:r w:rsidRPr="009D7315">
        <w:rPr>
          <w:spacing w:val="39"/>
        </w:rPr>
        <w:t xml:space="preserve"> </w:t>
      </w:r>
      <w:r w:rsidRPr="009D7315">
        <w:t>below</w:t>
      </w:r>
      <w:r w:rsidRPr="009D7315">
        <w:rPr>
          <w:spacing w:val="39"/>
        </w:rPr>
        <w:t xml:space="preserve"> </w:t>
      </w:r>
      <w:r w:rsidRPr="009D7315">
        <w:t>detailing</w:t>
      </w:r>
      <w:r w:rsidRPr="009D7315">
        <w:rPr>
          <w:spacing w:val="39"/>
        </w:rPr>
        <w:t xml:space="preserve"> </w:t>
      </w:r>
      <w:r w:rsidRPr="009D7315">
        <w:t>the</w:t>
      </w:r>
      <w:r w:rsidRPr="009D7315">
        <w:rPr>
          <w:spacing w:val="38"/>
        </w:rPr>
        <w:t xml:space="preserve"> </w:t>
      </w:r>
      <w:r w:rsidRPr="009D7315">
        <w:t>deliverables</w:t>
      </w:r>
      <w:r w:rsidRPr="009D7315">
        <w:rPr>
          <w:spacing w:val="39"/>
        </w:rPr>
        <w:t xml:space="preserve"> </w:t>
      </w:r>
      <w:r w:rsidRPr="009D7315">
        <w:t>for</w:t>
      </w:r>
      <w:r w:rsidRPr="009D7315">
        <w:rPr>
          <w:spacing w:val="39"/>
        </w:rPr>
        <w:t xml:space="preserve"> </w:t>
      </w:r>
      <w:r w:rsidR="00F31033">
        <w:rPr>
          <w:color w:val="0000FF"/>
          <w:spacing w:val="-1"/>
        </w:rPr>
        <w:t>Analysis of factors</w:t>
      </w:r>
      <w:r w:rsidR="00A57E21">
        <w:rPr>
          <w:color w:val="0000FF"/>
          <w:spacing w:val="-1"/>
        </w:rPr>
        <w:t xml:space="preserve"> influencing </w:t>
      </w:r>
      <w:r w:rsidR="00F31033">
        <w:rPr>
          <w:color w:val="0000FF"/>
          <w:spacing w:val="-1"/>
        </w:rPr>
        <w:t xml:space="preserve">big game </w:t>
      </w:r>
      <w:r w:rsidR="00A57E21">
        <w:rPr>
          <w:color w:val="0000FF"/>
          <w:spacing w:val="-1"/>
        </w:rPr>
        <w:t xml:space="preserve">antler and horn trends </w:t>
      </w:r>
      <w:r w:rsidR="00F31033">
        <w:rPr>
          <w:color w:val="0000FF"/>
          <w:spacing w:val="-1"/>
        </w:rPr>
        <w:t>in Nevada using NV Wildlife Record Book data</w:t>
      </w:r>
    </w:p>
    <w:p w14:paraId="3D0D34B0" w14:textId="77777777" w:rsidR="008D53B2" w:rsidRDefault="008D53B2">
      <w:pPr>
        <w:pStyle w:val="BodyText"/>
        <w:ind w:left="120" w:right="118"/>
        <w:jc w:val="both"/>
        <w:rPr>
          <w:spacing w:val="19"/>
        </w:rPr>
      </w:pPr>
    </w:p>
    <w:p w14:paraId="1163DB1E" w14:textId="327491E1" w:rsidR="00FC1A38" w:rsidRPr="008D53B2" w:rsidRDefault="005E44BD">
      <w:pPr>
        <w:pStyle w:val="BodyText"/>
        <w:ind w:left="120" w:right="118"/>
        <w:jc w:val="both"/>
        <w:rPr>
          <w:u w:val="single"/>
        </w:rPr>
      </w:pPr>
      <w:r w:rsidRPr="008D53B2">
        <w:rPr>
          <w:u w:val="single"/>
        </w:rPr>
        <w:t>The</w:t>
      </w:r>
      <w:r w:rsidRPr="008D53B2">
        <w:rPr>
          <w:spacing w:val="59"/>
          <w:w w:val="99"/>
          <w:u w:val="single"/>
        </w:rPr>
        <w:t xml:space="preserve"> </w:t>
      </w:r>
      <w:r w:rsidRPr="008D53B2">
        <w:rPr>
          <w:u w:val="single"/>
        </w:rPr>
        <w:t>proposal</w:t>
      </w:r>
      <w:r w:rsidRPr="008D53B2">
        <w:rPr>
          <w:spacing w:val="-11"/>
          <w:u w:val="single"/>
        </w:rPr>
        <w:t xml:space="preserve"> </w:t>
      </w:r>
      <w:r w:rsidRPr="008D53B2">
        <w:rPr>
          <w:u w:val="single"/>
        </w:rPr>
        <w:t>must</w:t>
      </w:r>
      <w:r w:rsidRPr="008D53B2">
        <w:rPr>
          <w:spacing w:val="-10"/>
          <w:u w:val="single"/>
        </w:rPr>
        <w:t xml:space="preserve"> </w:t>
      </w:r>
      <w:r w:rsidRPr="008D53B2">
        <w:rPr>
          <w:spacing w:val="-1"/>
          <w:u w:val="single"/>
        </w:rPr>
        <w:t>include:</w:t>
      </w:r>
    </w:p>
    <w:p w14:paraId="3ED9B875" w14:textId="5DE2E4D1" w:rsidR="00FC1A38" w:rsidRPr="009D7315" w:rsidRDefault="005E44BD">
      <w:pPr>
        <w:pStyle w:val="BodyText"/>
        <w:numPr>
          <w:ilvl w:val="0"/>
          <w:numId w:val="2"/>
        </w:numPr>
        <w:tabs>
          <w:tab w:val="left" w:pos="841"/>
        </w:tabs>
        <w:spacing w:before="20" w:line="252" w:lineRule="exact"/>
        <w:ind w:right="119" w:hanging="360"/>
        <w:rPr>
          <w:color w:val="0000FF"/>
          <w:spacing w:val="-1"/>
        </w:rPr>
      </w:pPr>
      <w:r w:rsidRPr="009D7315">
        <w:rPr>
          <w:color w:val="0000FF"/>
          <w:spacing w:val="-1"/>
        </w:rPr>
        <w:t xml:space="preserve">Identification of the project manager and supporting staff (if applicable) along with a brief description of </w:t>
      </w:r>
      <w:r w:rsidR="008D53B2" w:rsidRPr="009D7315">
        <w:rPr>
          <w:color w:val="0000FF"/>
          <w:spacing w:val="-1"/>
        </w:rPr>
        <w:t>qualifications.</w:t>
      </w:r>
    </w:p>
    <w:p w14:paraId="418640F0" w14:textId="7057FBE4" w:rsidR="00FC1A38" w:rsidRDefault="005E44BD">
      <w:pPr>
        <w:pStyle w:val="BodyText"/>
        <w:numPr>
          <w:ilvl w:val="0"/>
          <w:numId w:val="2"/>
        </w:numPr>
        <w:tabs>
          <w:tab w:val="left" w:pos="841"/>
        </w:tabs>
        <w:spacing w:line="266" w:lineRule="exact"/>
        <w:ind w:hanging="360"/>
        <w:rPr>
          <w:color w:val="0000FF"/>
          <w:spacing w:val="-1"/>
        </w:rPr>
      </w:pPr>
      <w:r w:rsidRPr="009D7315">
        <w:rPr>
          <w:color w:val="0000FF"/>
          <w:spacing w:val="-1"/>
        </w:rPr>
        <w:t xml:space="preserve">Description of how the scope of work will be </w:t>
      </w:r>
      <w:r w:rsidR="008D53B2" w:rsidRPr="009D7315">
        <w:rPr>
          <w:color w:val="0000FF"/>
          <w:spacing w:val="-1"/>
        </w:rPr>
        <w:t>performed</w:t>
      </w:r>
      <w:r w:rsidR="00D57A8C">
        <w:rPr>
          <w:color w:val="0000FF"/>
          <w:spacing w:val="-1"/>
        </w:rPr>
        <w:t xml:space="preserve"> including varying approaches to what is described in the Scope of Work below</w:t>
      </w:r>
      <w:r w:rsidR="008D53B2" w:rsidRPr="009D7315">
        <w:rPr>
          <w:color w:val="0000FF"/>
          <w:spacing w:val="-1"/>
        </w:rPr>
        <w:t>.</w:t>
      </w:r>
    </w:p>
    <w:p w14:paraId="329A4A4F" w14:textId="51D5D7C5" w:rsidR="00627896" w:rsidRPr="009D7315" w:rsidRDefault="00627896">
      <w:pPr>
        <w:pStyle w:val="BodyText"/>
        <w:numPr>
          <w:ilvl w:val="0"/>
          <w:numId w:val="2"/>
        </w:numPr>
        <w:tabs>
          <w:tab w:val="left" w:pos="841"/>
        </w:tabs>
        <w:spacing w:line="266" w:lineRule="exact"/>
        <w:ind w:hanging="360"/>
        <w:rPr>
          <w:color w:val="0000FF"/>
          <w:spacing w:val="-1"/>
        </w:rPr>
      </w:pPr>
      <w:r>
        <w:rPr>
          <w:color w:val="0000FF"/>
          <w:spacing w:val="-1"/>
        </w:rPr>
        <w:t>Detailed description of prosed statistical analysis</w:t>
      </w:r>
    </w:p>
    <w:p w14:paraId="56760842" w14:textId="180E948E" w:rsidR="00FC1A38" w:rsidRDefault="005E44BD">
      <w:pPr>
        <w:pStyle w:val="BodyText"/>
        <w:numPr>
          <w:ilvl w:val="0"/>
          <w:numId w:val="2"/>
        </w:numPr>
        <w:tabs>
          <w:tab w:val="left" w:pos="841"/>
        </w:tabs>
        <w:spacing w:before="18" w:line="252" w:lineRule="exact"/>
        <w:ind w:right="119" w:hanging="360"/>
        <w:rPr>
          <w:color w:val="0000FF"/>
          <w:spacing w:val="-1"/>
        </w:rPr>
      </w:pPr>
      <w:r w:rsidRPr="009D7315">
        <w:rPr>
          <w:color w:val="0000FF"/>
          <w:spacing w:val="-1"/>
        </w:rPr>
        <w:t>A</w:t>
      </w:r>
      <w:r w:rsidR="00FB010A" w:rsidRPr="009D7315">
        <w:rPr>
          <w:color w:val="0000FF"/>
          <w:spacing w:val="-1"/>
        </w:rPr>
        <w:t>n estimated budget for proposed activities</w:t>
      </w:r>
      <w:r w:rsidR="008D53B2">
        <w:rPr>
          <w:color w:val="0000FF"/>
          <w:spacing w:val="-1"/>
        </w:rPr>
        <w:t>.</w:t>
      </w:r>
      <w:r w:rsidR="001948BA">
        <w:rPr>
          <w:color w:val="0000FF"/>
          <w:spacing w:val="-1"/>
        </w:rPr>
        <w:t xml:space="preserve"> (Not to exceed a maximum of $120,000 including fringe benefits, indirect costs, stipends, travel, </w:t>
      </w:r>
      <w:r w:rsidR="00D3790D">
        <w:rPr>
          <w:color w:val="0000FF"/>
          <w:spacing w:val="-1"/>
        </w:rPr>
        <w:t xml:space="preserve">publication charges, </w:t>
      </w:r>
      <w:r w:rsidR="001948BA">
        <w:rPr>
          <w:color w:val="0000FF"/>
          <w:spacing w:val="-1"/>
        </w:rPr>
        <w:t xml:space="preserve">and other budget items). </w:t>
      </w:r>
    </w:p>
    <w:p w14:paraId="50953F83" w14:textId="77777777" w:rsidR="008D53B2" w:rsidRPr="009D7315" w:rsidRDefault="008D53B2" w:rsidP="001948BA">
      <w:pPr>
        <w:pStyle w:val="BodyText"/>
        <w:tabs>
          <w:tab w:val="left" w:pos="841"/>
        </w:tabs>
        <w:spacing w:before="18" w:line="252" w:lineRule="exact"/>
        <w:ind w:right="119"/>
        <w:rPr>
          <w:color w:val="0000FF"/>
          <w:spacing w:val="-1"/>
        </w:rPr>
      </w:pPr>
    </w:p>
    <w:p w14:paraId="0927BA59" w14:textId="77777777" w:rsidR="00FC1A38" w:rsidRPr="009D7315" w:rsidRDefault="00FC1A38">
      <w:pPr>
        <w:spacing w:before="9"/>
        <w:rPr>
          <w:rFonts w:ascii="Arial" w:eastAsia="Arial" w:hAnsi="Arial" w:cs="Arial"/>
          <w:sz w:val="21"/>
          <w:szCs w:val="21"/>
        </w:rPr>
      </w:pPr>
    </w:p>
    <w:p w14:paraId="5424B129" w14:textId="77777777" w:rsidR="00FC1A38" w:rsidRPr="009D7315" w:rsidRDefault="005E44BD">
      <w:pPr>
        <w:pStyle w:val="BodyText"/>
        <w:ind w:left="120"/>
      </w:pPr>
      <w:r w:rsidRPr="009D7315">
        <w:rPr>
          <w:u w:val="single" w:color="000000"/>
        </w:rPr>
        <w:t>Grant</w:t>
      </w:r>
      <w:r w:rsidRPr="009D7315">
        <w:rPr>
          <w:spacing w:val="-7"/>
          <w:u w:val="single" w:color="000000"/>
        </w:rPr>
        <w:t xml:space="preserve"> </w:t>
      </w:r>
      <w:r w:rsidRPr="009D7315">
        <w:rPr>
          <w:u w:val="single" w:color="000000"/>
        </w:rPr>
        <w:t>Eligibility</w:t>
      </w:r>
      <w:r w:rsidRPr="009D7315">
        <w:rPr>
          <w:spacing w:val="-7"/>
          <w:u w:val="single" w:color="000000"/>
        </w:rPr>
        <w:t xml:space="preserve"> </w:t>
      </w:r>
      <w:r w:rsidRPr="009D7315">
        <w:rPr>
          <w:u w:val="single" w:color="000000"/>
        </w:rPr>
        <w:t>(must</w:t>
      </w:r>
      <w:r w:rsidRPr="009D7315">
        <w:rPr>
          <w:spacing w:val="-6"/>
          <w:u w:val="single" w:color="000000"/>
        </w:rPr>
        <w:t xml:space="preserve"> </w:t>
      </w:r>
      <w:r w:rsidRPr="009D7315">
        <w:rPr>
          <w:u w:val="single" w:color="000000"/>
        </w:rPr>
        <w:t>meet</w:t>
      </w:r>
      <w:r w:rsidRPr="009D7315">
        <w:rPr>
          <w:spacing w:val="-7"/>
          <w:u w:val="single" w:color="000000"/>
        </w:rPr>
        <w:t xml:space="preserve"> </w:t>
      </w:r>
      <w:proofErr w:type="gramStart"/>
      <w:r w:rsidRPr="009D7315">
        <w:rPr>
          <w:u w:val="single" w:color="000000"/>
        </w:rPr>
        <w:t>all</w:t>
      </w:r>
      <w:r w:rsidRPr="009D7315">
        <w:rPr>
          <w:spacing w:val="-6"/>
          <w:u w:val="single" w:color="000000"/>
        </w:rPr>
        <w:t xml:space="preserve"> </w:t>
      </w:r>
      <w:r w:rsidRPr="009D7315">
        <w:rPr>
          <w:u w:val="single" w:color="000000"/>
        </w:rPr>
        <w:t>of</w:t>
      </w:r>
      <w:proofErr w:type="gramEnd"/>
      <w:r w:rsidRPr="009D7315">
        <w:rPr>
          <w:spacing w:val="-7"/>
          <w:u w:val="single" w:color="000000"/>
        </w:rPr>
        <w:t xml:space="preserve"> </w:t>
      </w:r>
      <w:r w:rsidRPr="009D7315">
        <w:rPr>
          <w:u w:val="single" w:color="000000"/>
        </w:rPr>
        <w:t>the</w:t>
      </w:r>
      <w:r w:rsidRPr="009D7315">
        <w:rPr>
          <w:spacing w:val="-7"/>
          <w:u w:val="single" w:color="000000"/>
        </w:rPr>
        <w:t xml:space="preserve"> </w:t>
      </w:r>
      <w:r w:rsidRPr="009D7315">
        <w:rPr>
          <w:u w:val="single" w:color="000000"/>
        </w:rPr>
        <w:t>following</w:t>
      </w:r>
      <w:r w:rsidRPr="009D7315">
        <w:rPr>
          <w:spacing w:val="-7"/>
          <w:u w:val="single" w:color="000000"/>
        </w:rPr>
        <w:t xml:space="preserve"> </w:t>
      </w:r>
      <w:r w:rsidRPr="009D7315">
        <w:rPr>
          <w:u w:val="single" w:color="000000"/>
        </w:rPr>
        <w:t>criteria)</w:t>
      </w:r>
    </w:p>
    <w:p w14:paraId="47FF159D" w14:textId="5CD5A605" w:rsidR="00880A6D" w:rsidRPr="009D7315" w:rsidRDefault="00880A6D">
      <w:pPr>
        <w:pStyle w:val="BodyText"/>
        <w:numPr>
          <w:ilvl w:val="0"/>
          <w:numId w:val="2"/>
        </w:numPr>
        <w:tabs>
          <w:tab w:val="left" w:pos="841"/>
        </w:tabs>
        <w:spacing w:line="268" w:lineRule="exact"/>
        <w:ind w:hanging="360"/>
        <w:rPr>
          <w:color w:val="3333FF"/>
        </w:rPr>
      </w:pPr>
      <w:r w:rsidRPr="009D7315">
        <w:rPr>
          <w:color w:val="3333FF"/>
        </w:rPr>
        <w:t xml:space="preserve">Subgrantee must have an active </w:t>
      </w:r>
      <w:r w:rsidR="008D53B2">
        <w:rPr>
          <w:color w:val="3333FF"/>
        </w:rPr>
        <w:t>UEI</w:t>
      </w:r>
      <w:r w:rsidRPr="009D7315">
        <w:rPr>
          <w:color w:val="3333FF"/>
        </w:rPr>
        <w:t xml:space="preserve"> number, or ability to obtain one</w:t>
      </w:r>
      <w:r w:rsidR="008D53B2">
        <w:rPr>
          <w:color w:val="3333FF"/>
        </w:rPr>
        <w:t>.</w:t>
      </w:r>
    </w:p>
    <w:p w14:paraId="52CC5341" w14:textId="6E813989" w:rsidR="00880A6D" w:rsidRDefault="00880A6D">
      <w:pPr>
        <w:pStyle w:val="BodyText"/>
        <w:numPr>
          <w:ilvl w:val="0"/>
          <w:numId w:val="2"/>
        </w:numPr>
        <w:tabs>
          <w:tab w:val="left" w:pos="841"/>
        </w:tabs>
        <w:spacing w:line="268" w:lineRule="exact"/>
        <w:ind w:hanging="360"/>
        <w:rPr>
          <w:color w:val="3333FF"/>
        </w:rPr>
      </w:pPr>
      <w:r w:rsidRPr="009D7315">
        <w:rPr>
          <w:color w:val="3333FF"/>
        </w:rPr>
        <w:t xml:space="preserve">Subgrantee must be registered in the System for Award Management, at </w:t>
      </w:r>
      <w:hyperlink r:id="rId9" w:history="1">
        <w:r w:rsidR="008D53B2" w:rsidRPr="00716B14">
          <w:rPr>
            <w:rStyle w:val="Hyperlink"/>
          </w:rPr>
          <w:t>www.sam.gov</w:t>
        </w:r>
      </w:hyperlink>
      <w:r w:rsidRPr="009D7315">
        <w:rPr>
          <w:color w:val="3333FF"/>
        </w:rPr>
        <w:t xml:space="preserve">, and be in good standing, </w:t>
      </w:r>
      <w:r w:rsidR="008D53B2" w:rsidRPr="009D7315">
        <w:rPr>
          <w:color w:val="3333FF"/>
        </w:rPr>
        <w:t>OR</w:t>
      </w:r>
      <w:r w:rsidRPr="009D7315">
        <w:rPr>
          <w:color w:val="3333FF"/>
        </w:rPr>
        <w:t xml:space="preserve"> </w:t>
      </w:r>
      <w:r w:rsidR="008D53B2" w:rsidRPr="009D7315">
        <w:rPr>
          <w:color w:val="3333FF"/>
        </w:rPr>
        <w:t>can</w:t>
      </w:r>
      <w:r w:rsidRPr="009D7315">
        <w:rPr>
          <w:color w:val="3333FF"/>
        </w:rPr>
        <w:t xml:space="preserve"> obtain registration and good standing.</w:t>
      </w:r>
    </w:p>
    <w:p w14:paraId="6E1DA835" w14:textId="0B624AEC" w:rsidR="001463BC" w:rsidRDefault="001948BA">
      <w:pPr>
        <w:pStyle w:val="BodyText"/>
        <w:numPr>
          <w:ilvl w:val="0"/>
          <w:numId w:val="2"/>
        </w:numPr>
        <w:tabs>
          <w:tab w:val="left" w:pos="841"/>
        </w:tabs>
        <w:spacing w:line="268" w:lineRule="exact"/>
        <w:ind w:hanging="360"/>
        <w:rPr>
          <w:color w:val="3333FF"/>
        </w:rPr>
      </w:pPr>
      <w:r>
        <w:rPr>
          <w:color w:val="3333FF"/>
        </w:rPr>
        <w:t xml:space="preserve">NDOW will provide 25% non-federal match towards awarded federal grant funds for this project. </w:t>
      </w:r>
    </w:p>
    <w:p w14:paraId="6428D7C3" w14:textId="77777777" w:rsidR="0064590E" w:rsidRPr="009D7315" w:rsidRDefault="0064590E" w:rsidP="001948BA">
      <w:pPr>
        <w:pStyle w:val="BodyText"/>
        <w:tabs>
          <w:tab w:val="left" w:pos="841"/>
        </w:tabs>
        <w:spacing w:line="268" w:lineRule="exact"/>
        <w:rPr>
          <w:color w:val="3333FF"/>
        </w:rPr>
      </w:pPr>
    </w:p>
    <w:p w14:paraId="37578FEF" w14:textId="77777777" w:rsidR="00FC1A38" w:rsidRPr="009D7315" w:rsidRDefault="00FC1A38">
      <w:pPr>
        <w:spacing w:before="8"/>
        <w:rPr>
          <w:rFonts w:ascii="Arial" w:eastAsia="Arial" w:hAnsi="Arial" w:cs="Arial"/>
          <w:sz w:val="21"/>
          <w:szCs w:val="21"/>
        </w:rPr>
      </w:pPr>
    </w:p>
    <w:p w14:paraId="353993D9" w14:textId="77777777" w:rsidR="00FC1A38" w:rsidRDefault="005E44BD">
      <w:pPr>
        <w:pStyle w:val="BodyText"/>
        <w:spacing w:line="253" w:lineRule="exact"/>
        <w:ind w:left="119"/>
      </w:pPr>
      <w:r w:rsidRPr="009D7315">
        <w:rPr>
          <w:u w:val="single" w:color="000000"/>
        </w:rPr>
        <w:t>Scope</w:t>
      </w:r>
      <w:r w:rsidRPr="009D7315">
        <w:rPr>
          <w:spacing w:val="-8"/>
          <w:u w:val="single" w:color="000000"/>
        </w:rPr>
        <w:t xml:space="preserve"> </w:t>
      </w:r>
      <w:r w:rsidRPr="009D7315">
        <w:rPr>
          <w:u w:val="single" w:color="000000"/>
        </w:rPr>
        <w:t>of</w:t>
      </w:r>
      <w:r w:rsidRPr="009D7315">
        <w:rPr>
          <w:spacing w:val="-7"/>
          <w:u w:val="single" w:color="000000"/>
        </w:rPr>
        <w:t xml:space="preserve"> </w:t>
      </w:r>
      <w:r w:rsidRPr="009D7315">
        <w:rPr>
          <w:u w:val="single" w:color="000000"/>
        </w:rPr>
        <w:t>Work</w:t>
      </w:r>
    </w:p>
    <w:p w14:paraId="190AD767" w14:textId="77777777" w:rsidR="00627896" w:rsidRDefault="00627896">
      <w:pPr>
        <w:pStyle w:val="BodyText"/>
        <w:ind w:left="119" w:right="119"/>
      </w:pPr>
    </w:p>
    <w:p w14:paraId="3D4BF575" w14:textId="06818D16" w:rsidR="00930B00" w:rsidRDefault="00930B00" w:rsidP="00930B00">
      <w:pPr>
        <w:pStyle w:val="BodyText"/>
        <w:tabs>
          <w:tab w:val="left" w:pos="841"/>
        </w:tabs>
        <w:spacing w:line="268" w:lineRule="exact"/>
        <w:ind w:left="480"/>
        <w:rPr>
          <w:color w:val="3333FF"/>
        </w:rPr>
      </w:pPr>
      <w:r w:rsidRPr="00930B00">
        <w:rPr>
          <w:color w:val="3333FF"/>
        </w:rPr>
        <w:t xml:space="preserve">The primary aim of this research is to explore the abiotic and biotic factors affecting antler and horn characteristics in Nevada's native ungulates, specifically elk, mule deer, pronghorn antelope, and bighorn sheep. This study intends to enhance the Nevada Department of Wildlife's (NDOW) understanding of horn and antler </w:t>
      </w:r>
      <w:r w:rsidR="00FC6435" w:rsidRPr="00930B00">
        <w:rPr>
          <w:color w:val="3333FF"/>
        </w:rPr>
        <w:t xml:space="preserve">growth </w:t>
      </w:r>
      <w:r w:rsidRPr="00930B00">
        <w:rPr>
          <w:color w:val="3333FF"/>
        </w:rPr>
        <w:t>trends to improve ungulate management</w:t>
      </w:r>
      <w:r w:rsidR="00E63DA3">
        <w:rPr>
          <w:color w:val="3333FF"/>
        </w:rPr>
        <w:t>.</w:t>
      </w:r>
    </w:p>
    <w:p w14:paraId="74290726" w14:textId="77777777" w:rsidR="00930B00" w:rsidRDefault="00930B00" w:rsidP="00930B00">
      <w:pPr>
        <w:pStyle w:val="BodyText"/>
        <w:tabs>
          <w:tab w:val="left" w:pos="841"/>
        </w:tabs>
        <w:spacing w:line="268" w:lineRule="exact"/>
        <w:ind w:left="480"/>
        <w:rPr>
          <w:color w:val="3333FF"/>
        </w:rPr>
      </w:pPr>
    </w:p>
    <w:p w14:paraId="309F7300" w14:textId="1F38E4A3" w:rsidR="00930B00" w:rsidRPr="00930B00" w:rsidRDefault="00930B00" w:rsidP="00930B00">
      <w:pPr>
        <w:pStyle w:val="BodyText"/>
        <w:tabs>
          <w:tab w:val="left" w:pos="841"/>
        </w:tabs>
        <w:spacing w:line="268" w:lineRule="exact"/>
        <w:ind w:left="480"/>
        <w:rPr>
          <w:color w:val="3333FF"/>
        </w:rPr>
      </w:pPr>
      <w:r>
        <w:rPr>
          <w:color w:val="3333FF"/>
        </w:rPr>
        <w:t xml:space="preserve">Primary </w:t>
      </w:r>
      <w:r w:rsidRPr="00930B00">
        <w:rPr>
          <w:color w:val="3333FF"/>
        </w:rPr>
        <w:t>Objectives:</w:t>
      </w:r>
    </w:p>
    <w:p w14:paraId="6E044EB7" w14:textId="77777777" w:rsidR="00930B00" w:rsidRDefault="00930B00" w:rsidP="00930B00">
      <w:pPr>
        <w:pStyle w:val="BodyText"/>
        <w:tabs>
          <w:tab w:val="left" w:pos="841"/>
        </w:tabs>
        <w:spacing w:line="268" w:lineRule="exact"/>
        <w:rPr>
          <w:color w:val="3333FF"/>
        </w:rPr>
      </w:pPr>
    </w:p>
    <w:p w14:paraId="700B8E8E" w14:textId="650438CF" w:rsidR="00930B00" w:rsidRPr="00930B00" w:rsidRDefault="00930B00" w:rsidP="00930B00">
      <w:pPr>
        <w:pStyle w:val="BodyText"/>
        <w:numPr>
          <w:ilvl w:val="0"/>
          <w:numId w:val="2"/>
        </w:numPr>
        <w:tabs>
          <w:tab w:val="left" w:pos="841"/>
        </w:tabs>
        <w:spacing w:line="268" w:lineRule="exact"/>
        <w:ind w:hanging="360"/>
        <w:rPr>
          <w:color w:val="3333FF"/>
        </w:rPr>
      </w:pPr>
      <w:r w:rsidRPr="00930B00">
        <w:rPr>
          <w:color w:val="3333FF"/>
        </w:rPr>
        <w:tab/>
        <w:t>Analyze spatial and temporal trends in antler and horn measurements for Nevada ungulates.</w:t>
      </w:r>
    </w:p>
    <w:p w14:paraId="0668C956" w14:textId="0C9DB5CA" w:rsidR="00930B00" w:rsidRPr="00930B00" w:rsidRDefault="00930B00" w:rsidP="00930B00">
      <w:pPr>
        <w:pStyle w:val="BodyText"/>
        <w:numPr>
          <w:ilvl w:val="0"/>
          <w:numId w:val="2"/>
        </w:numPr>
        <w:tabs>
          <w:tab w:val="left" w:pos="841"/>
        </w:tabs>
        <w:spacing w:line="268" w:lineRule="exact"/>
        <w:ind w:hanging="360"/>
        <w:rPr>
          <w:color w:val="3333FF"/>
        </w:rPr>
      </w:pPr>
      <w:r w:rsidRPr="00930B00">
        <w:rPr>
          <w:color w:val="3333FF"/>
        </w:rPr>
        <w:tab/>
        <w:t>Assess general trends in quality metrics such as main beam length, horn length, mass, and base circumference.</w:t>
      </w:r>
    </w:p>
    <w:p w14:paraId="7D00A382" w14:textId="4B44E03C" w:rsidR="00930B00" w:rsidRPr="00930B00" w:rsidRDefault="00930B00" w:rsidP="00930B00">
      <w:pPr>
        <w:pStyle w:val="BodyText"/>
        <w:numPr>
          <w:ilvl w:val="0"/>
          <w:numId w:val="2"/>
        </w:numPr>
        <w:tabs>
          <w:tab w:val="left" w:pos="841"/>
        </w:tabs>
        <w:spacing w:line="268" w:lineRule="exact"/>
        <w:ind w:hanging="360"/>
        <w:rPr>
          <w:color w:val="3333FF"/>
        </w:rPr>
      </w:pPr>
      <w:commentRangeStart w:id="0"/>
      <w:r w:rsidRPr="00930B00">
        <w:rPr>
          <w:color w:val="3333FF"/>
        </w:rPr>
        <w:tab/>
        <w:t xml:space="preserve">Correlate trends in horn and antler growth with habitat variables like </w:t>
      </w:r>
      <w:r w:rsidR="00FC6435">
        <w:rPr>
          <w:color w:val="3333FF"/>
        </w:rPr>
        <w:t>Normalized Difference Vegetation Index (</w:t>
      </w:r>
      <w:r w:rsidRPr="00930B00">
        <w:rPr>
          <w:color w:val="3333FF"/>
        </w:rPr>
        <w:t>NDVI</w:t>
      </w:r>
      <w:r w:rsidR="00FC6435">
        <w:rPr>
          <w:color w:val="3333FF"/>
        </w:rPr>
        <w:t>), shrub, tree and grass cover</w:t>
      </w:r>
      <w:r w:rsidRPr="00930B00">
        <w:rPr>
          <w:color w:val="3333FF"/>
        </w:rPr>
        <w:t xml:space="preserve"> and other environmental factors.</w:t>
      </w:r>
      <w:commentRangeEnd w:id="0"/>
      <w:r w:rsidR="00D57A8C">
        <w:rPr>
          <w:rStyle w:val="CommentReference"/>
          <w:rFonts w:asciiTheme="minorHAnsi" w:eastAsiaTheme="minorHAnsi" w:hAnsiTheme="minorHAnsi"/>
        </w:rPr>
        <w:commentReference w:id="0"/>
      </w:r>
    </w:p>
    <w:p w14:paraId="1C8DA611" w14:textId="3BDA57EA" w:rsidR="00930B00" w:rsidRPr="00930B00" w:rsidRDefault="00930B00" w:rsidP="00930B00">
      <w:pPr>
        <w:pStyle w:val="BodyText"/>
        <w:numPr>
          <w:ilvl w:val="0"/>
          <w:numId w:val="2"/>
        </w:numPr>
        <w:tabs>
          <w:tab w:val="left" w:pos="841"/>
        </w:tabs>
        <w:spacing w:line="268" w:lineRule="exact"/>
        <w:ind w:hanging="360"/>
        <w:rPr>
          <w:color w:val="3333FF"/>
        </w:rPr>
      </w:pPr>
      <w:r w:rsidRPr="00930B00">
        <w:rPr>
          <w:color w:val="3333FF"/>
        </w:rPr>
        <w:tab/>
        <w:t>Evaluate the impact of feral horse overpopulation on habitat quality and ungulate secondary sexual characteristics.</w:t>
      </w:r>
    </w:p>
    <w:p w14:paraId="0128AD20" w14:textId="41E84018" w:rsidR="00930B00" w:rsidRPr="00930B00" w:rsidRDefault="00930B00" w:rsidP="00930B00">
      <w:pPr>
        <w:pStyle w:val="BodyText"/>
        <w:numPr>
          <w:ilvl w:val="0"/>
          <w:numId w:val="2"/>
        </w:numPr>
        <w:tabs>
          <w:tab w:val="left" w:pos="841"/>
        </w:tabs>
        <w:spacing w:line="268" w:lineRule="exact"/>
        <w:ind w:hanging="360"/>
        <w:rPr>
          <w:color w:val="3333FF"/>
        </w:rPr>
      </w:pPr>
      <w:r w:rsidRPr="00930B00">
        <w:rPr>
          <w:color w:val="3333FF"/>
        </w:rPr>
        <w:lastRenderedPageBreak/>
        <w:tab/>
        <w:t xml:space="preserve">Use statistical models to assess relationships between horn/antler measurements and various </w:t>
      </w:r>
      <w:r w:rsidR="00344E28">
        <w:rPr>
          <w:color w:val="3333FF"/>
        </w:rPr>
        <w:t xml:space="preserve">abiotic </w:t>
      </w:r>
      <w:r w:rsidRPr="00930B00">
        <w:rPr>
          <w:color w:val="3333FF"/>
        </w:rPr>
        <w:t>covariates (e.g</w:t>
      </w:r>
      <w:r w:rsidR="00344E28">
        <w:rPr>
          <w:color w:val="3333FF"/>
        </w:rPr>
        <w:t xml:space="preserve">. # tags issued previous years, changes in season dates, </w:t>
      </w:r>
      <w:proofErr w:type="spellStart"/>
      <w:r w:rsidR="00344E28">
        <w:rPr>
          <w:color w:val="3333FF"/>
        </w:rPr>
        <w:t>etc</w:t>
      </w:r>
      <w:proofErr w:type="spellEnd"/>
      <w:r w:rsidR="00344E28">
        <w:rPr>
          <w:color w:val="3333FF"/>
        </w:rPr>
        <w:t>)</w:t>
      </w:r>
    </w:p>
    <w:p w14:paraId="32837DA0" w14:textId="33A2A478" w:rsidR="00F31033" w:rsidRDefault="00930B00" w:rsidP="00930B00">
      <w:pPr>
        <w:pStyle w:val="BodyText"/>
        <w:numPr>
          <w:ilvl w:val="0"/>
          <w:numId w:val="2"/>
        </w:numPr>
        <w:tabs>
          <w:tab w:val="left" w:pos="841"/>
        </w:tabs>
        <w:spacing w:line="268" w:lineRule="exact"/>
        <w:ind w:hanging="360"/>
        <w:rPr>
          <w:color w:val="3333FF"/>
        </w:rPr>
      </w:pPr>
      <w:r w:rsidRPr="00930B00">
        <w:rPr>
          <w:color w:val="3333FF"/>
        </w:rPr>
        <w:tab/>
        <w:t>Conduct temporal and spatial statistical analyses to identify significant trends and correlations over a long period, using Nevada Record Book data from 1941 to the present for mule deer and 1970’s to current for other species such antelope, elk, and bighorn sheep.</w:t>
      </w:r>
    </w:p>
    <w:p w14:paraId="2DA8AA8E" w14:textId="77777777" w:rsidR="007B309F" w:rsidRDefault="007B309F" w:rsidP="007B309F">
      <w:pPr>
        <w:pStyle w:val="BodyText"/>
        <w:tabs>
          <w:tab w:val="left" w:pos="841"/>
        </w:tabs>
        <w:spacing w:line="268" w:lineRule="exact"/>
        <w:ind w:left="480"/>
        <w:rPr>
          <w:color w:val="3333FF"/>
        </w:rPr>
      </w:pPr>
    </w:p>
    <w:p w14:paraId="5363B5E9" w14:textId="77777777" w:rsidR="007B309F" w:rsidRPr="00326B25" w:rsidRDefault="007B309F" w:rsidP="00326B25">
      <w:pPr>
        <w:widowControl/>
        <w:spacing w:after="160" w:line="259" w:lineRule="auto"/>
        <w:ind w:left="180"/>
        <w:contextualSpacing/>
        <w:rPr>
          <w:color w:val="0000FF"/>
        </w:rPr>
      </w:pPr>
      <w:r w:rsidRPr="00326B25">
        <w:rPr>
          <w:rFonts w:ascii="Arial" w:eastAsia="Arial" w:hAnsi="Arial"/>
          <w:color w:val="0000FF"/>
        </w:rPr>
        <w:t xml:space="preserve">Timeline: </w:t>
      </w:r>
    </w:p>
    <w:p w14:paraId="68CF46F6" w14:textId="5366A3BD" w:rsidR="007B309F" w:rsidRPr="00930B00" w:rsidRDefault="007B309F" w:rsidP="00326B25">
      <w:pPr>
        <w:pStyle w:val="BodyText"/>
        <w:tabs>
          <w:tab w:val="left" w:pos="841"/>
        </w:tabs>
        <w:spacing w:line="268" w:lineRule="exact"/>
        <w:ind w:left="480"/>
        <w:rPr>
          <w:color w:val="3333FF"/>
        </w:rPr>
      </w:pPr>
      <w:r>
        <w:rPr>
          <w:color w:val="3333FF"/>
        </w:rPr>
        <w:t>This subgrant will be issued for a period of 1 year. It is estimated that a grant will be available for spending in the Fall of 202</w:t>
      </w:r>
      <w:r w:rsidR="00326B25">
        <w:rPr>
          <w:color w:val="3333FF"/>
        </w:rPr>
        <w:t>5</w:t>
      </w:r>
      <w:r>
        <w:rPr>
          <w:color w:val="3333FF"/>
        </w:rPr>
        <w:t xml:space="preserve"> and extend through September of 202</w:t>
      </w:r>
      <w:r w:rsidR="00326B25">
        <w:rPr>
          <w:color w:val="3333FF"/>
        </w:rPr>
        <w:t>6</w:t>
      </w:r>
      <w:r>
        <w:rPr>
          <w:color w:val="3333FF"/>
        </w:rPr>
        <w:t xml:space="preserve">. However, an extension may be possible with additional funding added through our Federal Grant award system. </w:t>
      </w:r>
    </w:p>
    <w:p w14:paraId="2ABBD668" w14:textId="77777777" w:rsidR="00930B00" w:rsidRDefault="00930B00" w:rsidP="00F31033">
      <w:pPr>
        <w:widowControl/>
        <w:spacing w:after="160" w:line="259" w:lineRule="auto"/>
        <w:contextualSpacing/>
        <w:rPr>
          <w:rFonts w:ascii="Arial" w:eastAsia="Arial" w:hAnsi="Arial"/>
          <w:color w:val="0000FF"/>
        </w:rPr>
      </w:pPr>
    </w:p>
    <w:p w14:paraId="67CFF627" w14:textId="795AC81C" w:rsidR="00F31033" w:rsidRPr="00F31033" w:rsidRDefault="00F31033" w:rsidP="00F31033">
      <w:pPr>
        <w:widowControl/>
        <w:spacing w:after="160" w:line="259" w:lineRule="auto"/>
        <w:contextualSpacing/>
        <w:rPr>
          <w:rFonts w:ascii="Arial" w:eastAsia="Arial" w:hAnsi="Arial"/>
          <w:color w:val="0000FF"/>
        </w:rPr>
      </w:pPr>
      <w:r w:rsidRPr="00F31033">
        <w:rPr>
          <w:rFonts w:ascii="Arial" w:eastAsia="Arial" w:hAnsi="Arial"/>
          <w:color w:val="0000FF"/>
        </w:rPr>
        <w:t>Reporting and Dissemination:</w:t>
      </w:r>
    </w:p>
    <w:p w14:paraId="30233480" w14:textId="77777777" w:rsidR="00F31033" w:rsidRPr="00F31033" w:rsidRDefault="00F31033" w:rsidP="00F31033">
      <w:pPr>
        <w:pStyle w:val="ListParagraph"/>
        <w:widowControl/>
        <w:numPr>
          <w:ilvl w:val="0"/>
          <w:numId w:val="4"/>
        </w:numPr>
        <w:spacing w:after="160" w:line="259" w:lineRule="auto"/>
        <w:contextualSpacing/>
        <w:rPr>
          <w:rFonts w:ascii="Arial" w:eastAsia="Arial" w:hAnsi="Arial"/>
          <w:color w:val="0000FF"/>
        </w:rPr>
      </w:pPr>
      <w:r w:rsidRPr="00F31033">
        <w:rPr>
          <w:rFonts w:ascii="Arial" w:eastAsia="Arial" w:hAnsi="Arial"/>
          <w:color w:val="0000FF"/>
        </w:rPr>
        <w:t>Prepare a final report summarizing findings and recommendations for NDOW.</w:t>
      </w:r>
    </w:p>
    <w:p w14:paraId="51A1CF6A" w14:textId="77777777" w:rsidR="00F31033" w:rsidRPr="00F31033" w:rsidRDefault="00F31033" w:rsidP="00F31033">
      <w:pPr>
        <w:pStyle w:val="ListParagraph"/>
        <w:widowControl/>
        <w:numPr>
          <w:ilvl w:val="0"/>
          <w:numId w:val="4"/>
        </w:numPr>
        <w:spacing w:after="160" w:line="259" w:lineRule="auto"/>
        <w:contextualSpacing/>
        <w:rPr>
          <w:rFonts w:ascii="Arial" w:eastAsia="Arial" w:hAnsi="Arial"/>
          <w:color w:val="0000FF"/>
        </w:rPr>
      </w:pPr>
      <w:r w:rsidRPr="00F31033">
        <w:rPr>
          <w:rFonts w:ascii="Arial" w:eastAsia="Arial" w:hAnsi="Arial"/>
          <w:color w:val="0000FF"/>
        </w:rPr>
        <w:t>Present results at public and professional conferences.</w:t>
      </w:r>
    </w:p>
    <w:p w14:paraId="479F0932" w14:textId="77777777" w:rsidR="00F31033" w:rsidRPr="00F31033" w:rsidRDefault="00F31033" w:rsidP="00F31033">
      <w:pPr>
        <w:pStyle w:val="ListParagraph"/>
        <w:widowControl/>
        <w:numPr>
          <w:ilvl w:val="0"/>
          <w:numId w:val="4"/>
        </w:numPr>
        <w:spacing w:after="160" w:line="259" w:lineRule="auto"/>
        <w:contextualSpacing/>
        <w:rPr>
          <w:rFonts w:ascii="Arial" w:eastAsia="Arial" w:hAnsi="Arial"/>
          <w:color w:val="0000FF"/>
        </w:rPr>
      </w:pPr>
      <w:r w:rsidRPr="00F31033">
        <w:rPr>
          <w:rFonts w:ascii="Arial" w:eastAsia="Arial" w:hAnsi="Arial"/>
          <w:color w:val="0000FF"/>
        </w:rPr>
        <w:t>Publish findings in peer-reviewed journals.</w:t>
      </w:r>
    </w:p>
    <w:p w14:paraId="4D1D684B" w14:textId="54937138" w:rsidR="00F31033" w:rsidRDefault="00E63DA3" w:rsidP="00E63DA3">
      <w:pPr>
        <w:widowControl/>
        <w:spacing w:after="160" w:line="259" w:lineRule="auto"/>
        <w:ind w:left="180"/>
        <w:contextualSpacing/>
        <w:rPr>
          <w:rFonts w:ascii="Arial" w:eastAsia="Arial" w:hAnsi="Arial"/>
          <w:color w:val="0000FF"/>
        </w:rPr>
      </w:pPr>
      <w:r>
        <w:rPr>
          <w:rFonts w:ascii="Arial" w:eastAsia="Arial" w:hAnsi="Arial"/>
          <w:color w:val="0000FF"/>
        </w:rPr>
        <w:t>Status Updates:</w:t>
      </w:r>
    </w:p>
    <w:p w14:paraId="2A33CEDE" w14:textId="77777777" w:rsidR="00E63DA3" w:rsidRDefault="00E63DA3" w:rsidP="00E63DA3">
      <w:pPr>
        <w:widowControl/>
        <w:spacing w:after="160" w:line="259" w:lineRule="auto"/>
        <w:ind w:left="180"/>
        <w:contextualSpacing/>
        <w:rPr>
          <w:rFonts w:ascii="Arial" w:eastAsia="Arial" w:hAnsi="Arial"/>
          <w:color w:val="0000FF"/>
        </w:rPr>
      </w:pPr>
    </w:p>
    <w:p w14:paraId="1B9B1CB3" w14:textId="1E6AF243" w:rsidR="00E63DA3" w:rsidRPr="00326B25" w:rsidRDefault="00E63DA3" w:rsidP="00326B25">
      <w:pPr>
        <w:pStyle w:val="ListParagraph"/>
        <w:numPr>
          <w:ilvl w:val="0"/>
          <w:numId w:val="5"/>
        </w:numPr>
        <w:tabs>
          <w:tab w:val="left" w:pos="180"/>
        </w:tabs>
        <w:jc w:val="both"/>
        <w:rPr>
          <w:rFonts w:ascii="Arial" w:hAnsi="Arial" w:cs="Arial"/>
        </w:rPr>
      </w:pPr>
      <w:r w:rsidRPr="00326B25">
        <w:rPr>
          <w:rFonts w:ascii="Arial" w:hAnsi="Arial" w:cs="Arial"/>
        </w:rPr>
        <w:t>Participate in monthly status checks with NDOW representatives on or around the 1</w:t>
      </w:r>
      <w:r w:rsidRPr="00326B25">
        <w:rPr>
          <w:rFonts w:ascii="Arial" w:hAnsi="Arial" w:cs="Arial"/>
          <w:vertAlign w:val="superscript"/>
        </w:rPr>
        <w:t>st</w:t>
      </w:r>
      <w:r w:rsidRPr="00326B25">
        <w:rPr>
          <w:rFonts w:ascii="Arial" w:hAnsi="Arial" w:cs="Arial"/>
        </w:rPr>
        <w:t xml:space="preserve"> of each month to ensure project is progressing as desired.</w:t>
      </w:r>
    </w:p>
    <w:p w14:paraId="6E4D525F" w14:textId="77777777" w:rsidR="001948BA" w:rsidRPr="001463BC" w:rsidRDefault="001948BA" w:rsidP="001948BA">
      <w:pPr>
        <w:pStyle w:val="BodyText"/>
        <w:tabs>
          <w:tab w:val="left" w:pos="481"/>
        </w:tabs>
        <w:spacing w:line="252" w:lineRule="exact"/>
        <w:ind w:left="0"/>
        <w:rPr>
          <w:color w:val="0000FF"/>
        </w:rPr>
      </w:pPr>
    </w:p>
    <w:p w14:paraId="5D5B1EB6" w14:textId="775C42F3" w:rsidR="007F4DF3" w:rsidRDefault="007F4DF3" w:rsidP="004A3EEA">
      <w:pPr>
        <w:ind w:left="540" w:hanging="360"/>
        <w:rPr>
          <w:rFonts w:ascii="Arial" w:eastAsia="Arial" w:hAnsi="Arial" w:cs="Arial"/>
        </w:rPr>
      </w:pPr>
    </w:p>
    <w:p w14:paraId="1A4BE9E7" w14:textId="05EFB81B" w:rsidR="001463BC" w:rsidRDefault="005E44BD" w:rsidP="001463BC">
      <w:pPr>
        <w:pStyle w:val="BodyText"/>
        <w:numPr>
          <w:ilvl w:val="0"/>
          <w:numId w:val="1"/>
        </w:numPr>
        <w:tabs>
          <w:tab w:val="left" w:pos="481"/>
        </w:tabs>
        <w:spacing w:line="252" w:lineRule="exact"/>
        <w:ind w:left="540" w:hanging="360"/>
        <w:jc w:val="left"/>
      </w:pPr>
      <w:r>
        <w:t>Location</w:t>
      </w:r>
      <w:r>
        <w:rPr>
          <w:spacing w:val="-12"/>
        </w:rPr>
        <w:t xml:space="preserve"> </w:t>
      </w:r>
      <w:r>
        <w:rPr>
          <w:spacing w:val="-1"/>
        </w:rPr>
        <w:t>and</w:t>
      </w:r>
      <w:r>
        <w:rPr>
          <w:spacing w:val="-12"/>
        </w:rPr>
        <w:t xml:space="preserve"> </w:t>
      </w:r>
      <w:r>
        <w:rPr>
          <w:spacing w:val="-1"/>
        </w:rPr>
        <w:t>Description:</w:t>
      </w:r>
    </w:p>
    <w:p w14:paraId="186EBCE5" w14:textId="5647974C" w:rsidR="00FC1A38" w:rsidRDefault="00627896" w:rsidP="00627896">
      <w:pPr>
        <w:pStyle w:val="BodyText"/>
        <w:tabs>
          <w:tab w:val="left" w:pos="481"/>
        </w:tabs>
        <w:spacing w:line="252" w:lineRule="exact"/>
        <w:ind w:left="540"/>
        <w:rPr>
          <w:color w:val="0000FF"/>
        </w:rPr>
      </w:pPr>
      <w:r>
        <w:rPr>
          <w:color w:val="0000FF"/>
        </w:rPr>
        <w:t xml:space="preserve">Statewide with focus on </w:t>
      </w:r>
      <w:proofErr w:type="gramStart"/>
      <w:r>
        <w:rPr>
          <w:color w:val="0000FF"/>
        </w:rPr>
        <w:t xml:space="preserve">particular </w:t>
      </w:r>
      <w:r w:rsidR="00FC6435">
        <w:rPr>
          <w:color w:val="0000FF"/>
        </w:rPr>
        <w:t>Management</w:t>
      </w:r>
      <w:proofErr w:type="gramEnd"/>
      <w:r w:rsidR="00FC6435">
        <w:rPr>
          <w:color w:val="0000FF"/>
        </w:rPr>
        <w:t xml:space="preserve"> Areas or </w:t>
      </w:r>
      <w:r>
        <w:rPr>
          <w:color w:val="0000FF"/>
        </w:rPr>
        <w:t>Hunt Units where data is available</w:t>
      </w:r>
      <w:r w:rsidR="00FC6435">
        <w:rPr>
          <w:color w:val="0000FF"/>
        </w:rPr>
        <w:t xml:space="preserve"> at those scales</w:t>
      </w:r>
      <w:r>
        <w:rPr>
          <w:color w:val="0000FF"/>
        </w:rPr>
        <w:t>.</w:t>
      </w:r>
    </w:p>
    <w:p w14:paraId="61C104DC" w14:textId="77777777" w:rsidR="001463BC" w:rsidRPr="001463BC" w:rsidRDefault="001463BC" w:rsidP="001463BC">
      <w:pPr>
        <w:pStyle w:val="BodyText"/>
        <w:tabs>
          <w:tab w:val="left" w:pos="481"/>
        </w:tabs>
        <w:spacing w:line="252" w:lineRule="exact"/>
        <w:ind w:left="180"/>
      </w:pPr>
    </w:p>
    <w:p w14:paraId="6B515C34" w14:textId="77777777" w:rsidR="00FC1A38" w:rsidRDefault="005E44BD" w:rsidP="004A3EEA">
      <w:pPr>
        <w:pStyle w:val="BodyText"/>
        <w:numPr>
          <w:ilvl w:val="0"/>
          <w:numId w:val="1"/>
        </w:numPr>
        <w:tabs>
          <w:tab w:val="left" w:pos="480"/>
        </w:tabs>
        <w:ind w:left="540" w:hanging="360"/>
        <w:jc w:val="left"/>
      </w:pPr>
      <w:r>
        <w:rPr>
          <w:spacing w:val="-1"/>
        </w:rPr>
        <w:t>Contractor</w:t>
      </w:r>
      <w:r>
        <w:rPr>
          <w:spacing w:val="-10"/>
        </w:rPr>
        <w:t xml:space="preserve"> </w:t>
      </w:r>
      <w:r>
        <w:t>furnished</w:t>
      </w:r>
      <w:r>
        <w:rPr>
          <w:spacing w:val="-10"/>
        </w:rPr>
        <w:t xml:space="preserve"> </w:t>
      </w:r>
      <w:r>
        <w:rPr>
          <w:spacing w:val="-1"/>
        </w:rPr>
        <w:t>property</w:t>
      </w:r>
      <w:r>
        <w:rPr>
          <w:spacing w:val="-10"/>
        </w:rPr>
        <w:t xml:space="preserve"> </w:t>
      </w:r>
      <w:r>
        <w:t>and</w:t>
      </w:r>
      <w:r>
        <w:rPr>
          <w:spacing w:val="-10"/>
        </w:rPr>
        <w:t xml:space="preserve"> </w:t>
      </w:r>
      <w:r>
        <w:t>services:</w:t>
      </w:r>
    </w:p>
    <w:p w14:paraId="0968610F" w14:textId="68744A1A" w:rsidR="001463BC" w:rsidRPr="001463BC" w:rsidRDefault="00627896" w:rsidP="00627896">
      <w:pPr>
        <w:pStyle w:val="BodyText"/>
        <w:tabs>
          <w:tab w:val="left" w:pos="480"/>
        </w:tabs>
        <w:ind w:left="540"/>
        <w:rPr>
          <w:color w:val="0000FF"/>
        </w:rPr>
      </w:pPr>
      <w:r>
        <w:rPr>
          <w:color w:val="0000FF"/>
        </w:rPr>
        <w:t xml:space="preserve">Contractor will provide all necessary equipment such as computers and statistical software for conducting this analysis. </w:t>
      </w:r>
    </w:p>
    <w:p w14:paraId="7E2BD54B" w14:textId="77777777" w:rsidR="00FC1A38" w:rsidRDefault="00FC1A38" w:rsidP="004A3EEA">
      <w:pPr>
        <w:spacing w:before="11"/>
        <w:ind w:left="540" w:hanging="360"/>
        <w:rPr>
          <w:rFonts w:ascii="Arial" w:eastAsia="Arial" w:hAnsi="Arial" w:cs="Arial"/>
          <w:sz w:val="21"/>
          <w:szCs w:val="21"/>
        </w:rPr>
      </w:pPr>
    </w:p>
    <w:p w14:paraId="0A8E8C18" w14:textId="77777777" w:rsidR="004A3EEA" w:rsidRDefault="005E44BD" w:rsidP="004A3EEA">
      <w:pPr>
        <w:pStyle w:val="BodyText"/>
        <w:numPr>
          <w:ilvl w:val="0"/>
          <w:numId w:val="1"/>
        </w:numPr>
        <w:tabs>
          <w:tab w:val="left" w:pos="480"/>
        </w:tabs>
        <w:ind w:left="540" w:hanging="360"/>
        <w:jc w:val="left"/>
      </w:pPr>
      <w:commentRangeStart w:id="1"/>
      <w:r>
        <w:rPr>
          <w:spacing w:val="-1"/>
        </w:rPr>
        <w:t>Government</w:t>
      </w:r>
      <w:r>
        <w:rPr>
          <w:spacing w:val="-10"/>
        </w:rPr>
        <w:t xml:space="preserve"> </w:t>
      </w:r>
      <w:r>
        <w:t>furnished</w:t>
      </w:r>
      <w:r>
        <w:rPr>
          <w:spacing w:val="-10"/>
        </w:rPr>
        <w:t xml:space="preserve"> </w:t>
      </w:r>
      <w:r>
        <w:rPr>
          <w:spacing w:val="-1"/>
        </w:rPr>
        <w:t>property</w:t>
      </w:r>
      <w:r>
        <w:rPr>
          <w:spacing w:val="-11"/>
        </w:rPr>
        <w:t xml:space="preserve"> </w:t>
      </w:r>
      <w:r>
        <w:t>and</w:t>
      </w:r>
      <w:r>
        <w:rPr>
          <w:spacing w:val="-10"/>
        </w:rPr>
        <w:t xml:space="preserve"> </w:t>
      </w:r>
      <w:r>
        <w:t>services</w:t>
      </w:r>
      <w:commentRangeEnd w:id="1"/>
      <w:r w:rsidR="001463BC">
        <w:rPr>
          <w:rStyle w:val="CommentReference"/>
          <w:rFonts w:asciiTheme="minorHAnsi" w:eastAsiaTheme="minorHAnsi" w:hAnsiTheme="minorHAnsi"/>
        </w:rPr>
        <w:commentReference w:id="1"/>
      </w:r>
      <w:r>
        <w:t>:</w:t>
      </w:r>
    </w:p>
    <w:p w14:paraId="3CCB748C" w14:textId="6C1C83BA" w:rsidR="001463BC" w:rsidRPr="001463BC" w:rsidRDefault="001463BC" w:rsidP="00627896">
      <w:pPr>
        <w:pStyle w:val="BodyText"/>
        <w:tabs>
          <w:tab w:val="left" w:pos="480"/>
        </w:tabs>
        <w:spacing w:line="252" w:lineRule="exact"/>
        <w:ind w:left="540"/>
        <w:rPr>
          <w:color w:val="0000FF"/>
        </w:rPr>
      </w:pPr>
      <w:r w:rsidRPr="001463BC">
        <w:rPr>
          <w:color w:val="0000FF"/>
        </w:rPr>
        <w:tab/>
      </w:r>
      <w:r w:rsidR="00627896" w:rsidRPr="00627896">
        <w:rPr>
          <w:color w:val="0000FF"/>
        </w:rPr>
        <w:t>-No government furnished property is being provided by the Nevada Department of Wildlife.</w:t>
      </w:r>
    </w:p>
    <w:p w14:paraId="3BA536B9" w14:textId="77777777" w:rsidR="00FC1A38" w:rsidRDefault="00FC1A38" w:rsidP="004A3EEA">
      <w:pPr>
        <w:ind w:left="540" w:hanging="360"/>
        <w:rPr>
          <w:rFonts w:ascii="Arial" w:eastAsia="Arial" w:hAnsi="Arial" w:cs="Arial"/>
        </w:rPr>
      </w:pPr>
    </w:p>
    <w:p w14:paraId="71292CB3" w14:textId="77777777" w:rsidR="0064590E" w:rsidRDefault="00FB010A" w:rsidP="0064590E">
      <w:pPr>
        <w:pStyle w:val="BodyText"/>
        <w:numPr>
          <w:ilvl w:val="0"/>
          <w:numId w:val="1"/>
        </w:numPr>
        <w:tabs>
          <w:tab w:val="left" w:pos="480"/>
        </w:tabs>
        <w:ind w:left="540" w:hanging="360"/>
        <w:jc w:val="left"/>
      </w:pPr>
      <w:r>
        <w:t>Selection Process:</w:t>
      </w:r>
    </w:p>
    <w:p w14:paraId="36D62F0A" w14:textId="72841536" w:rsidR="00FB010A" w:rsidRPr="00FB010A" w:rsidRDefault="00FB010A" w:rsidP="0064590E">
      <w:pPr>
        <w:pStyle w:val="BodyText"/>
        <w:tabs>
          <w:tab w:val="left" w:pos="480"/>
        </w:tabs>
        <w:ind w:left="480"/>
      </w:pPr>
      <w:r>
        <w:t xml:space="preserve">The winning proposal will be selected through the </w:t>
      </w:r>
      <w:r w:rsidR="001463BC">
        <w:t>Nevada Department of Wildlife</w:t>
      </w:r>
      <w:r>
        <w:t xml:space="preserve"> scoring process, outlined in the </w:t>
      </w:r>
      <w:r w:rsidR="0064590E">
        <w:t>NDOW</w:t>
      </w:r>
      <w:r>
        <w:t xml:space="preserve"> </w:t>
      </w:r>
      <w:r w:rsidR="0064590E">
        <w:t>Grants</w:t>
      </w:r>
      <w:r>
        <w:t xml:space="preserve"> Manual at </w:t>
      </w:r>
      <w:hyperlink r:id="rId14" w:history="1">
        <w:r w:rsidR="00264D44" w:rsidRPr="00133E8D">
          <w:rPr>
            <w:rStyle w:val="Hyperlink"/>
          </w:rPr>
          <w:t>https://www.ndow.org/wp-content/uploads/2021/12/NDOW-GRANTS-MANUAL-4.17.17.pdf</w:t>
        </w:r>
      </w:hyperlink>
      <w:r w:rsidR="00264D44">
        <w:t>.</w:t>
      </w:r>
      <w:r>
        <w:t xml:space="preserve">  </w:t>
      </w:r>
    </w:p>
    <w:p w14:paraId="0F089DC7" w14:textId="77777777" w:rsidR="00FB010A" w:rsidRDefault="00FB010A" w:rsidP="004A3EEA">
      <w:pPr>
        <w:pStyle w:val="BodyText"/>
        <w:tabs>
          <w:tab w:val="left" w:pos="480"/>
        </w:tabs>
        <w:ind w:left="540" w:hanging="360"/>
        <w:jc w:val="right"/>
      </w:pPr>
    </w:p>
    <w:p w14:paraId="6DCF0080" w14:textId="77777777" w:rsidR="0064590E" w:rsidRDefault="0064590E" w:rsidP="004A3EEA">
      <w:pPr>
        <w:pStyle w:val="BodyText"/>
        <w:tabs>
          <w:tab w:val="left" w:pos="480"/>
        </w:tabs>
        <w:ind w:left="540" w:hanging="360"/>
        <w:jc w:val="right"/>
      </w:pPr>
    </w:p>
    <w:p w14:paraId="463C4C42" w14:textId="77777777" w:rsidR="0064590E" w:rsidRDefault="0064590E" w:rsidP="004A3EEA">
      <w:pPr>
        <w:pStyle w:val="BodyText"/>
        <w:tabs>
          <w:tab w:val="left" w:pos="480"/>
        </w:tabs>
        <w:ind w:left="540" w:hanging="360"/>
        <w:jc w:val="right"/>
      </w:pPr>
    </w:p>
    <w:p w14:paraId="32493D92" w14:textId="77777777" w:rsidR="0064590E" w:rsidRDefault="0064590E" w:rsidP="004A3EEA">
      <w:pPr>
        <w:pStyle w:val="BodyText"/>
        <w:tabs>
          <w:tab w:val="left" w:pos="480"/>
        </w:tabs>
        <w:ind w:left="540" w:hanging="360"/>
        <w:jc w:val="right"/>
      </w:pPr>
    </w:p>
    <w:p w14:paraId="2C48BF10" w14:textId="77777777" w:rsidR="0064590E" w:rsidRDefault="0064590E" w:rsidP="004A3EEA">
      <w:pPr>
        <w:pStyle w:val="BodyText"/>
        <w:tabs>
          <w:tab w:val="left" w:pos="480"/>
        </w:tabs>
        <w:ind w:left="540" w:hanging="360"/>
        <w:jc w:val="right"/>
      </w:pPr>
    </w:p>
    <w:p w14:paraId="38BC175A" w14:textId="77777777" w:rsidR="0064590E" w:rsidRPr="00FB010A" w:rsidRDefault="0064590E" w:rsidP="0064590E">
      <w:pPr>
        <w:pStyle w:val="BodyText"/>
        <w:tabs>
          <w:tab w:val="left" w:pos="480"/>
        </w:tabs>
        <w:ind w:left="0"/>
      </w:pPr>
    </w:p>
    <w:p w14:paraId="78CF3248" w14:textId="39950486" w:rsidR="004A3EEA" w:rsidRDefault="001463BC" w:rsidP="004A3EEA">
      <w:pPr>
        <w:pStyle w:val="BodyText"/>
        <w:numPr>
          <w:ilvl w:val="0"/>
          <w:numId w:val="1"/>
        </w:numPr>
        <w:tabs>
          <w:tab w:val="left" w:pos="480"/>
        </w:tabs>
        <w:ind w:left="540" w:hanging="360"/>
        <w:jc w:val="left"/>
      </w:pPr>
      <w:r>
        <w:rPr>
          <w:spacing w:val="-1"/>
        </w:rPr>
        <w:t>Subgrant</w:t>
      </w:r>
      <w:r w:rsidR="005E44BD">
        <w:rPr>
          <w:spacing w:val="-16"/>
        </w:rPr>
        <w:t xml:space="preserve"> </w:t>
      </w:r>
      <w:r w:rsidR="005E44BD">
        <w:t>Monitor</w:t>
      </w:r>
      <w:r>
        <w:t>:</w:t>
      </w:r>
    </w:p>
    <w:p w14:paraId="068B0024" w14:textId="259138A1" w:rsidR="00FC1A38" w:rsidRDefault="004A3EEA" w:rsidP="004A3EEA">
      <w:pPr>
        <w:pStyle w:val="BodyText"/>
        <w:tabs>
          <w:tab w:val="left" w:pos="480"/>
        </w:tabs>
        <w:ind w:left="179" w:hanging="360"/>
        <w:rPr>
          <w:color w:val="3333FF"/>
          <w:spacing w:val="-7"/>
        </w:rPr>
      </w:pPr>
      <w:r>
        <w:tab/>
      </w:r>
      <w:r>
        <w:tab/>
      </w:r>
    </w:p>
    <w:tbl>
      <w:tblPr>
        <w:tblStyle w:val="TableGrid"/>
        <w:tblW w:w="0" w:type="auto"/>
        <w:tblInd w:w="648" w:type="dxa"/>
        <w:tblLook w:val="04A0" w:firstRow="1" w:lastRow="0" w:firstColumn="1" w:lastColumn="0" w:noHBand="0" w:noVBand="1"/>
      </w:tblPr>
      <w:tblGrid>
        <w:gridCol w:w="4155"/>
        <w:gridCol w:w="4215"/>
      </w:tblGrid>
      <w:tr w:rsidR="001463BC" w14:paraId="3D398A1C" w14:textId="77777777" w:rsidTr="0064590E">
        <w:tc>
          <w:tcPr>
            <w:tcW w:w="4155" w:type="dxa"/>
            <w:tcBorders>
              <w:bottom w:val="single" w:sz="4" w:space="0" w:color="auto"/>
            </w:tcBorders>
          </w:tcPr>
          <w:p w14:paraId="2280463E" w14:textId="545F5FF0" w:rsidR="001463BC" w:rsidRDefault="001463BC" w:rsidP="004A3EEA">
            <w:pPr>
              <w:pStyle w:val="BodyText"/>
              <w:tabs>
                <w:tab w:val="left" w:pos="480"/>
              </w:tabs>
              <w:ind w:left="0"/>
            </w:pPr>
            <w:r>
              <w:t>Fiscal Services Monitor</w:t>
            </w:r>
            <w:r w:rsidR="0064590E">
              <w:t>:</w:t>
            </w:r>
          </w:p>
        </w:tc>
        <w:tc>
          <w:tcPr>
            <w:tcW w:w="4215" w:type="dxa"/>
            <w:tcBorders>
              <w:bottom w:val="single" w:sz="4" w:space="0" w:color="auto"/>
            </w:tcBorders>
          </w:tcPr>
          <w:p w14:paraId="2E13809B" w14:textId="69F06A94" w:rsidR="001463BC" w:rsidRDefault="001463BC" w:rsidP="004A3EEA">
            <w:pPr>
              <w:pStyle w:val="BodyText"/>
              <w:tabs>
                <w:tab w:val="left" w:pos="480"/>
              </w:tabs>
              <w:ind w:left="0"/>
            </w:pPr>
            <w:r>
              <w:t>Program Staff Monitor</w:t>
            </w:r>
            <w:r w:rsidR="0064590E">
              <w:t>:</w:t>
            </w:r>
          </w:p>
        </w:tc>
      </w:tr>
      <w:tr w:rsidR="001463BC" w14:paraId="2D6AD52C" w14:textId="77777777" w:rsidTr="0064590E">
        <w:tc>
          <w:tcPr>
            <w:tcW w:w="4155" w:type="dxa"/>
            <w:tcBorders>
              <w:top w:val="single" w:sz="4" w:space="0" w:color="auto"/>
              <w:left w:val="single" w:sz="4" w:space="0" w:color="auto"/>
              <w:bottom w:val="nil"/>
              <w:right w:val="single" w:sz="4" w:space="0" w:color="auto"/>
            </w:tcBorders>
          </w:tcPr>
          <w:p w14:paraId="637418CE" w14:textId="362D85CC" w:rsidR="001463BC" w:rsidRPr="0064590E" w:rsidRDefault="0064590E" w:rsidP="004A3EEA">
            <w:pPr>
              <w:pStyle w:val="BodyText"/>
              <w:tabs>
                <w:tab w:val="left" w:pos="480"/>
              </w:tabs>
              <w:ind w:left="0"/>
            </w:pPr>
            <w:r w:rsidRPr="0064590E">
              <w:t>Alejandra Medina</w:t>
            </w:r>
          </w:p>
        </w:tc>
        <w:tc>
          <w:tcPr>
            <w:tcW w:w="4215" w:type="dxa"/>
            <w:tcBorders>
              <w:top w:val="single" w:sz="4" w:space="0" w:color="auto"/>
              <w:left w:val="single" w:sz="4" w:space="0" w:color="auto"/>
              <w:bottom w:val="nil"/>
              <w:right w:val="single" w:sz="4" w:space="0" w:color="auto"/>
            </w:tcBorders>
          </w:tcPr>
          <w:p w14:paraId="77E87F5C" w14:textId="41CB8288" w:rsidR="001463BC" w:rsidRDefault="00F31033" w:rsidP="004A3EEA">
            <w:pPr>
              <w:pStyle w:val="BodyText"/>
              <w:tabs>
                <w:tab w:val="left" w:pos="480"/>
              </w:tabs>
              <w:ind w:left="0"/>
            </w:pPr>
            <w:r>
              <w:rPr>
                <w:color w:val="3333FF"/>
                <w:spacing w:val="-7"/>
              </w:rPr>
              <w:t>Cody Schroeder</w:t>
            </w:r>
          </w:p>
        </w:tc>
      </w:tr>
      <w:tr w:rsidR="001463BC" w14:paraId="1E3F9F31" w14:textId="77777777" w:rsidTr="0064590E">
        <w:tc>
          <w:tcPr>
            <w:tcW w:w="4155" w:type="dxa"/>
            <w:tcBorders>
              <w:top w:val="nil"/>
              <w:left w:val="single" w:sz="4" w:space="0" w:color="auto"/>
              <w:bottom w:val="nil"/>
              <w:right w:val="single" w:sz="4" w:space="0" w:color="auto"/>
            </w:tcBorders>
          </w:tcPr>
          <w:p w14:paraId="7680D06C" w14:textId="3FA9DBD5" w:rsidR="001463BC" w:rsidRDefault="0064590E" w:rsidP="004A3EEA">
            <w:pPr>
              <w:pStyle w:val="BodyText"/>
              <w:tabs>
                <w:tab w:val="left" w:pos="480"/>
              </w:tabs>
              <w:ind w:left="0"/>
            </w:pPr>
            <w:r>
              <w:t xml:space="preserve">6980 Sierra Center Parkway </w:t>
            </w:r>
          </w:p>
        </w:tc>
        <w:tc>
          <w:tcPr>
            <w:tcW w:w="4215" w:type="dxa"/>
            <w:tcBorders>
              <w:top w:val="nil"/>
              <w:left w:val="single" w:sz="4" w:space="0" w:color="auto"/>
              <w:bottom w:val="nil"/>
              <w:right w:val="single" w:sz="4" w:space="0" w:color="auto"/>
            </w:tcBorders>
          </w:tcPr>
          <w:p w14:paraId="46C8BE76" w14:textId="4015424A" w:rsidR="001463BC" w:rsidRPr="00F31033" w:rsidRDefault="00F31033" w:rsidP="004A3EEA">
            <w:pPr>
              <w:pStyle w:val="BodyText"/>
              <w:tabs>
                <w:tab w:val="left" w:pos="480"/>
              </w:tabs>
              <w:ind w:left="0"/>
              <w:rPr>
                <w:color w:val="0000FF"/>
              </w:rPr>
            </w:pPr>
            <w:r w:rsidRPr="00F31033">
              <w:rPr>
                <w:color w:val="0000FF"/>
              </w:rPr>
              <w:t>6980 Sierra Center Parkway</w:t>
            </w:r>
          </w:p>
        </w:tc>
      </w:tr>
      <w:tr w:rsidR="001463BC" w14:paraId="05AC59BF" w14:textId="77777777" w:rsidTr="0064590E">
        <w:tc>
          <w:tcPr>
            <w:tcW w:w="4155" w:type="dxa"/>
            <w:tcBorders>
              <w:top w:val="nil"/>
              <w:left w:val="single" w:sz="4" w:space="0" w:color="auto"/>
              <w:bottom w:val="nil"/>
              <w:right w:val="single" w:sz="4" w:space="0" w:color="auto"/>
            </w:tcBorders>
          </w:tcPr>
          <w:p w14:paraId="09CAEAFA" w14:textId="47BC1955" w:rsidR="001463BC" w:rsidRDefault="0064590E" w:rsidP="004A3EEA">
            <w:pPr>
              <w:pStyle w:val="BodyText"/>
              <w:tabs>
                <w:tab w:val="left" w:pos="480"/>
              </w:tabs>
              <w:ind w:left="0"/>
            </w:pPr>
            <w:r>
              <w:lastRenderedPageBreak/>
              <w:t>Reno, Nevada 89511</w:t>
            </w:r>
          </w:p>
        </w:tc>
        <w:tc>
          <w:tcPr>
            <w:tcW w:w="4215" w:type="dxa"/>
            <w:tcBorders>
              <w:top w:val="nil"/>
              <w:left w:val="single" w:sz="4" w:space="0" w:color="auto"/>
              <w:bottom w:val="nil"/>
              <w:right w:val="single" w:sz="4" w:space="0" w:color="auto"/>
            </w:tcBorders>
          </w:tcPr>
          <w:p w14:paraId="48A539EF" w14:textId="6AE9BA9D" w:rsidR="001463BC" w:rsidRDefault="00F31033" w:rsidP="004A3EEA">
            <w:pPr>
              <w:pStyle w:val="BodyText"/>
              <w:tabs>
                <w:tab w:val="left" w:pos="480"/>
              </w:tabs>
              <w:ind w:left="0"/>
            </w:pPr>
            <w:r>
              <w:rPr>
                <w:color w:val="0000FF"/>
              </w:rPr>
              <w:t>Reno, Nevada, 89511</w:t>
            </w:r>
          </w:p>
        </w:tc>
      </w:tr>
      <w:tr w:rsidR="0064590E" w14:paraId="3813CDC8" w14:textId="77777777" w:rsidTr="0064590E">
        <w:tc>
          <w:tcPr>
            <w:tcW w:w="4155" w:type="dxa"/>
            <w:tcBorders>
              <w:top w:val="nil"/>
              <w:left w:val="single" w:sz="4" w:space="0" w:color="auto"/>
              <w:bottom w:val="nil"/>
              <w:right w:val="single" w:sz="4" w:space="0" w:color="auto"/>
            </w:tcBorders>
          </w:tcPr>
          <w:p w14:paraId="7977168D" w14:textId="22FFEF4D" w:rsidR="0064590E" w:rsidRDefault="0064590E" w:rsidP="004A3EEA">
            <w:pPr>
              <w:pStyle w:val="BodyText"/>
              <w:tabs>
                <w:tab w:val="left" w:pos="480"/>
              </w:tabs>
              <w:ind w:left="0"/>
            </w:pPr>
            <w:r>
              <w:t>(775) 688-1402</w:t>
            </w:r>
          </w:p>
        </w:tc>
        <w:tc>
          <w:tcPr>
            <w:tcW w:w="4215" w:type="dxa"/>
            <w:tcBorders>
              <w:top w:val="nil"/>
              <w:left w:val="single" w:sz="4" w:space="0" w:color="auto"/>
              <w:bottom w:val="nil"/>
              <w:right w:val="single" w:sz="4" w:space="0" w:color="auto"/>
            </w:tcBorders>
          </w:tcPr>
          <w:p w14:paraId="68A90AE4" w14:textId="08E908DB" w:rsidR="0064590E" w:rsidRPr="0064590E" w:rsidRDefault="00F31033" w:rsidP="004A3EEA">
            <w:pPr>
              <w:pStyle w:val="BodyText"/>
              <w:tabs>
                <w:tab w:val="left" w:pos="480"/>
              </w:tabs>
              <w:ind w:left="0"/>
              <w:rPr>
                <w:color w:val="0000FF"/>
              </w:rPr>
            </w:pPr>
            <w:r>
              <w:rPr>
                <w:color w:val="0000FF"/>
              </w:rPr>
              <w:t>775-688-1659</w:t>
            </w:r>
          </w:p>
        </w:tc>
      </w:tr>
      <w:tr w:rsidR="0064590E" w14:paraId="77FA8C3C" w14:textId="77777777" w:rsidTr="0064590E">
        <w:tc>
          <w:tcPr>
            <w:tcW w:w="4155" w:type="dxa"/>
            <w:tcBorders>
              <w:top w:val="nil"/>
              <w:left w:val="single" w:sz="4" w:space="0" w:color="auto"/>
              <w:bottom w:val="single" w:sz="4" w:space="0" w:color="auto"/>
              <w:right w:val="single" w:sz="4" w:space="0" w:color="auto"/>
            </w:tcBorders>
          </w:tcPr>
          <w:p w14:paraId="65519EDB" w14:textId="1C17479E" w:rsidR="0064590E" w:rsidRDefault="0064590E" w:rsidP="004A3EEA">
            <w:pPr>
              <w:pStyle w:val="BodyText"/>
              <w:tabs>
                <w:tab w:val="left" w:pos="480"/>
              </w:tabs>
              <w:ind w:left="0"/>
            </w:pPr>
            <w:hyperlink r:id="rId15" w:history="1">
              <w:r w:rsidRPr="00716B14">
                <w:rPr>
                  <w:rStyle w:val="Hyperlink"/>
                </w:rPr>
                <w:t>amedina@ndow.org</w:t>
              </w:r>
            </w:hyperlink>
            <w:r>
              <w:t xml:space="preserve"> </w:t>
            </w:r>
          </w:p>
        </w:tc>
        <w:tc>
          <w:tcPr>
            <w:tcW w:w="4215" w:type="dxa"/>
            <w:tcBorders>
              <w:top w:val="nil"/>
              <w:left w:val="single" w:sz="4" w:space="0" w:color="auto"/>
              <w:bottom w:val="single" w:sz="4" w:space="0" w:color="auto"/>
              <w:right w:val="single" w:sz="4" w:space="0" w:color="auto"/>
            </w:tcBorders>
          </w:tcPr>
          <w:p w14:paraId="074833DE" w14:textId="45769DA1" w:rsidR="0064590E" w:rsidRPr="0064590E" w:rsidRDefault="00F31033" w:rsidP="004A3EEA">
            <w:pPr>
              <w:pStyle w:val="BodyText"/>
              <w:tabs>
                <w:tab w:val="left" w:pos="480"/>
              </w:tabs>
              <w:ind w:left="0"/>
              <w:rPr>
                <w:color w:val="0000FF"/>
              </w:rPr>
            </w:pPr>
            <w:r>
              <w:rPr>
                <w:color w:val="0000FF"/>
              </w:rPr>
              <w:t>cschroeder@ndow.org</w:t>
            </w:r>
          </w:p>
        </w:tc>
      </w:tr>
    </w:tbl>
    <w:p w14:paraId="0DB30D43" w14:textId="77777777" w:rsidR="001463BC" w:rsidRDefault="001463BC" w:rsidP="004A3EEA">
      <w:pPr>
        <w:pStyle w:val="BodyText"/>
        <w:tabs>
          <w:tab w:val="left" w:pos="480"/>
        </w:tabs>
        <w:ind w:left="179" w:hanging="360"/>
      </w:pPr>
    </w:p>
    <w:p w14:paraId="1D910D6E" w14:textId="77777777" w:rsidR="00FC1A38" w:rsidRDefault="00FC1A38" w:rsidP="004A3EEA">
      <w:pPr>
        <w:spacing w:before="8"/>
        <w:ind w:left="540" w:hanging="360"/>
        <w:rPr>
          <w:rFonts w:ascii="Arial" w:eastAsia="Arial" w:hAnsi="Arial" w:cs="Arial"/>
          <w:sz w:val="15"/>
          <w:szCs w:val="15"/>
        </w:rPr>
      </w:pPr>
    </w:p>
    <w:p w14:paraId="437056B5" w14:textId="7EBB13C1" w:rsidR="0064590E" w:rsidRDefault="00FB010A" w:rsidP="0064590E">
      <w:pPr>
        <w:pStyle w:val="BodyText"/>
        <w:numPr>
          <w:ilvl w:val="0"/>
          <w:numId w:val="1"/>
        </w:numPr>
        <w:tabs>
          <w:tab w:val="left" w:pos="481"/>
        </w:tabs>
        <w:spacing w:before="71"/>
        <w:ind w:left="540" w:hanging="360"/>
        <w:jc w:val="left"/>
      </w:pPr>
      <w:r>
        <w:t>Reporting</w:t>
      </w:r>
      <w:r w:rsidR="0064590E">
        <w:t>:</w:t>
      </w:r>
    </w:p>
    <w:p w14:paraId="71D9BE69" w14:textId="666131CE" w:rsidR="00FB010A" w:rsidRPr="0064590E" w:rsidRDefault="00FB010A" w:rsidP="0064590E">
      <w:pPr>
        <w:pStyle w:val="BodyText"/>
        <w:tabs>
          <w:tab w:val="left" w:pos="481"/>
        </w:tabs>
        <w:spacing w:before="71"/>
        <w:ind w:left="481"/>
      </w:pPr>
      <w:r w:rsidRPr="0064590E">
        <w:rPr>
          <w:rFonts w:cs="Arial"/>
          <w:szCs w:val="24"/>
        </w:rPr>
        <w:t xml:space="preserve">The successful subgrantee shall be required to provide </w:t>
      </w:r>
      <w:r w:rsidR="0064590E">
        <w:rPr>
          <w:rFonts w:cs="Arial"/>
          <w:szCs w:val="24"/>
        </w:rPr>
        <w:t>the Nevada Department of Wildlife</w:t>
      </w:r>
      <w:r w:rsidRPr="0064590E">
        <w:rPr>
          <w:rFonts w:cs="Arial"/>
          <w:szCs w:val="24"/>
        </w:rPr>
        <w:t xml:space="preserve"> Interim and Final Performance Reports and Interim and Final Financial Reports.  Reporting deadlines and content shall be consistent with normal Federal Grant reporting requirements and will be detailed in the subgrant award.</w:t>
      </w:r>
    </w:p>
    <w:p w14:paraId="30F45DD6" w14:textId="77777777" w:rsidR="00FB010A" w:rsidRDefault="00FB010A" w:rsidP="004A3EEA">
      <w:pPr>
        <w:pStyle w:val="BodyText"/>
        <w:tabs>
          <w:tab w:val="left" w:pos="481"/>
        </w:tabs>
        <w:spacing w:before="71"/>
        <w:ind w:left="540" w:hanging="360"/>
      </w:pPr>
    </w:p>
    <w:p w14:paraId="219254C5" w14:textId="6EDF11CF" w:rsidR="0064590E" w:rsidRDefault="005E44BD" w:rsidP="0064590E">
      <w:pPr>
        <w:pStyle w:val="BodyText"/>
        <w:numPr>
          <w:ilvl w:val="0"/>
          <w:numId w:val="1"/>
        </w:numPr>
        <w:tabs>
          <w:tab w:val="left" w:pos="481"/>
        </w:tabs>
        <w:spacing w:before="71"/>
        <w:ind w:left="540" w:hanging="360"/>
        <w:jc w:val="left"/>
      </w:pPr>
      <w:r>
        <w:t>Invoicing</w:t>
      </w:r>
      <w:r w:rsidR="0064590E">
        <w:t>:</w:t>
      </w:r>
    </w:p>
    <w:p w14:paraId="2F8A42CA" w14:textId="77777777" w:rsidR="0064590E" w:rsidRDefault="0064590E" w:rsidP="0064590E">
      <w:pPr>
        <w:pStyle w:val="BodyText"/>
        <w:tabs>
          <w:tab w:val="left" w:pos="481"/>
        </w:tabs>
        <w:spacing w:before="71"/>
        <w:ind w:left="180"/>
      </w:pPr>
      <w:r>
        <w:tab/>
      </w:r>
      <w:r w:rsidR="005E44BD" w:rsidRPr="0064590E">
        <w:rPr>
          <w:spacing w:val="-1"/>
        </w:rPr>
        <w:t>All</w:t>
      </w:r>
      <w:r w:rsidR="005E44BD" w:rsidRPr="0064590E">
        <w:rPr>
          <w:spacing w:val="-6"/>
        </w:rPr>
        <w:t xml:space="preserve"> </w:t>
      </w:r>
      <w:r w:rsidR="005E44BD">
        <w:t>invoices</w:t>
      </w:r>
      <w:r w:rsidR="005E44BD" w:rsidRPr="0064590E">
        <w:rPr>
          <w:spacing w:val="-6"/>
        </w:rPr>
        <w:t xml:space="preserve"> </w:t>
      </w:r>
      <w:r w:rsidR="005E44BD">
        <w:t>shall</w:t>
      </w:r>
      <w:r w:rsidR="005E44BD" w:rsidRPr="0064590E">
        <w:rPr>
          <w:spacing w:val="-5"/>
        </w:rPr>
        <w:t xml:space="preserve"> </w:t>
      </w:r>
      <w:r w:rsidR="005E44BD">
        <w:t>be</w:t>
      </w:r>
      <w:r w:rsidR="005E44BD" w:rsidRPr="0064590E">
        <w:rPr>
          <w:spacing w:val="-7"/>
        </w:rPr>
        <w:t xml:space="preserve"> </w:t>
      </w:r>
      <w:r w:rsidR="005E44BD" w:rsidRPr="0064590E">
        <w:rPr>
          <w:spacing w:val="-1"/>
        </w:rPr>
        <w:t>sent</w:t>
      </w:r>
      <w:r w:rsidR="005E44BD" w:rsidRPr="0064590E">
        <w:rPr>
          <w:spacing w:val="-5"/>
        </w:rPr>
        <w:t xml:space="preserve"> </w:t>
      </w:r>
      <w:r w:rsidR="005E44BD">
        <w:t>to</w:t>
      </w:r>
      <w:r w:rsidR="005E44BD" w:rsidRPr="0064590E">
        <w:rPr>
          <w:spacing w:val="-5"/>
        </w:rPr>
        <w:t xml:space="preserve"> </w:t>
      </w:r>
      <w:r w:rsidR="005E44BD">
        <w:t>the</w:t>
      </w:r>
      <w:r w:rsidR="005E44BD" w:rsidRPr="0064590E">
        <w:rPr>
          <w:spacing w:val="-6"/>
        </w:rPr>
        <w:t xml:space="preserve"> </w:t>
      </w:r>
      <w:r w:rsidRPr="0064590E">
        <w:rPr>
          <w:spacing w:val="-1"/>
        </w:rPr>
        <w:t>subgrant</w:t>
      </w:r>
      <w:r w:rsidR="005E44BD" w:rsidRPr="0064590E">
        <w:rPr>
          <w:spacing w:val="-5"/>
        </w:rPr>
        <w:t xml:space="preserve"> </w:t>
      </w:r>
      <w:r w:rsidR="005E44BD">
        <w:t>monitor</w:t>
      </w:r>
      <w:r>
        <w:t>s</w:t>
      </w:r>
      <w:r w:rsidR="005E44BD" w:rsidRPr="0064590E">
        <w:rPr>
          <w:spacing w:val="-5"/>
        </w:rPr>
        <w:t xml:space="preserve"> </w:t>
      </w:r>
      <w:r w:rsidR="005E44BD">
        <w:t>listed</w:t>
      </w:r>
      <w:r w:rsidR="005E44BD" w:rsidRPr="0064590E">
        <w:rPr>
          <w:spacing w:val="-6"/>
        </w:rPr>
        <w:t xml:space="preserve"> </w:t>
      </w:r>
      <w:r w:rsidR="005E44BD">
        <w:t>above.</w:t>
      </w:r>
    </w:p>
    <w:p w14:paraId="6A342E3F" w14:textId="77777777" w:rsidR="0064590E" w:rsidRDefault="0064590E" w:rsidP="0064590E">
      <w:pPr>
        <w:pStyle w:val="BodyText"/>
        <w:tabs>
          <w:tab w:val="left" w:pos="481"/>
        </w:tabs>
        <w:spacing w:before="71"/>
        <w:ind w:left="180"/>
      </w:pPr>
    </w:p>
    <w:p w14:paraId="751EFE44" w14:textId="038D7DCC" w:rsidR="00FC1A38" w:rsidRDefault="005E44BD" w:rsidP="0064590E">
      <w:pPr>
        <w:pStyle w:val="BodyText"/>
        <w:tabs>
          <w:tab w:val="left" w:pos="481"/>
        </w:tabs>
        <w:spacing w:before="71"/>
        <w:ind w:left="481"/>
      </w:pPr>
      <w:r>
        <w:t>If</w:t>
      </w:r>
      <w:r>
        <w:rPr>
          <w:spacing w:val="13"/>
        </w:rPr>
        <w:t xml:space="preserve"> </w:t>
      </w:r>
      <w:r>
        <w:t>the</w:t>
      </w:r>
      <w:r>
        <w:rPr>
          <w:spacing w:val="14"/>
        </w:rPr>
        <w:t xml:space="preserve"> </w:t>
      </w:r>
      <w:r>
        <w:t>full</w:t>
      </w:r>
      <w:r>
        <w:rPr>
          <w:spacing w:val="14"/>
        </w:rPr>
        <w:t xml:space="preserve"> </w:t>
      </w:r>
      <w:r>
        <w:rPr>
          <w:spacing w:val="-1"/>
        </w:rPr>
        <w:t>complement</w:t>
      </w:r>
      <w:r>
        <w:rPr>
          <w:spacing w:val="14"/>
        </w:rPr>
        <w:t xml:space="preserve"> </w:t>
      </w:r>
      <w:r>
        <w:t>objective</w:t>
      </w:r>
      <w:r>
        <w:rPr>
          <w:spacing w:val="14"/>
        </w:rPr>
        <w:t xml:space="preserve"> </w:t>
      </w:r>
      <w:r>
        <w:t>is</w:t>
      </w:r>
      <w:r>
        <w:rPr>
          <w:spacing w:val="14"/>
        </w:rPr>
        <w:t xml:space="preserve"> </w:t>
      </w:r>
      <w:r>
        <w:rPr>
          <w:spacing w:val="-1"/>
        </w:rPr>
        <w:t>not</w:t>
      </w:r>
      <w:r>
        <w:rPr>
          <w:spacing w:val="13"/>
        </w:rPr>
        <w:t xml:space="preserve"> </w:t>
      </w:r>
      <w:r>
        <w:t>met,</w:t>
      </w:r>
      <w:r>
        <w:rPr>
          <w:spacing w:val="14"/>
        </w:rPr>
        <w:t xml:space="preserve"> </w:t>
      </w:r>
      <w:r>
        <w:t>and</w:t>
      </w:r>
      <w:r>
        <w:rPr>
          <w:spacing w:val="13"/>
        </w:rPr>
        <w:t xml:space="preserve"> </w:t>
      </w:r>
      <w:r>
        <w:t>the</w:t>
      </w:r>
      <w:r>
        <w:rPr>
          <w:spacing w:val="14"/>
        </w:rPr>
        <w:t xml:space="preserve"> </w:t>
      </w:r>
      <w:r>
        <w:t>vendor</w:t>
      </w:r>
      <w:r>
        <w:rPr>
          <w:spacing w:val="14"/>
        </w:rPr>
        <w:t xml:space="preserve"> </w:t>
      </w:r>
      <w:r>
        <w:t>deems</w:t>
      </w:r>
      <w:r>
        <w:rPr>
          <w:spacing w:val="14"/>
        </w:rPr>
        <w:t xml:space="preserve"> </w:t>
      </w:r>
      <w:r>
        <w:t>continued</w:t>
      </w:r>
      <w:r>
        <w:rPr>
          <w:spacing w:val="14"/>
        </w:rPr>
        <w:t xml:space="preserve"> </w:t>
      </w:r>
      <w:r>
        <w:t>efforts</w:t>
      </w:r>
      <w:r>
        <w:rPr>
          <w:spacing w:val="22"/>
          <w:w w:val="99"/>
        </w:rPr>
        <w:t xml:space="preserve"> </w:t>
      </w:r>
      <w:r>
        <w:t>are</w:t>
      </w:r>
      <w:r>
        <w:rPr>
          <w:spacing w:val="39"/>
        </w:rPr>
        <w:t xml:space="preserve"> </w:t>
      </w:r>
      <w:r>
        <w:t>no</w:t>
      </w:r>
      <w:r>
        <w:rPr>
          <w:spacing w:val="40"/>
        </w:rPr>
        <w:t xml:space="preserve"> </w:t>
      </w:r>
      <w:r>
        <w:t>longer</w:t>
      </w:r>
      <w:r>
        <w:rPr>
          <w:spacing w:val="39"/>
        </w:rPr>
        <w:t xml:space="preserve"> </w:t>
      </w:r>
      <w:r>
        <w:t>feasible</w:t>
      </w:r>
      <w:r>
        <w:rPr>
          <w:spacing w:val="39"/>
        </w:rPr>
        <w:t xml:space="preserve"> </w:t>
      </w:r>
      <w:r>
        <w:t>or</w:t>
      </w:r>
      <w:r>
        <w:rPr>
          <w:spacing w:val="39"/>
        </w:rPr>
        <w:t xml:space="preserve"> </w:t>
      </w:r>
      <w:r>
        <w:t>worthwhile</w:t>
      </w:r>
      <w:r>
        <w:rPr>
          <w:spacing w:val="40"/>
        </w:rPr>
        <w:t xml:space="preserve"> </w:t>
      </w:r>
      <w:r>
        <w:t>for</w:t>
      </w:r>
      <w:r>
        <w:rPr>
          <w:spacing w:val="39"/>
        </w:rPr>
        <w:t xml:space="preserve"> </w:t>
      </w:r>
      <w:r>
        <w:t>the</w:t>
      </w:r>
      <w:r>
        <w:rPr>
          <w:spacing w:val="40"/>
        </w:rPr>
        <w:t xml:space="preserve"> </w:t>
      </w:r>
      <w:r>
        <w:t>term</w:t>
      </w:r>
      <w:r>
        <w:rPr>
          <w:spacing w:val="39"/>
        </w:rPr>
        <w:t xml:space="preserve"> </w:t>
      </w:r>
      <w:r>
        <w:t>of</w:t>
      </w:r>
      <w:r>
        <w:rPr>
          <w:spacing w:val="40"/>
        </w:rPr>
        <w:t xml:space="preserve"> </w:t>
      </w:r>
      <w:r>
        <w:t>the</w:t>
      </w:r>
      <w:r>
        <w:rPr>
          <w:spacing w:val="39"/>
        </w:rPr>
        <w:t xml:space="preserve"> </w:t>
      </w:r>
      <w:r>
        <w:t>contract</w:t>
      </w:r>
      <w:r>
        <w:rPr>
          <w:spacing w:val="40"/>
        </w:rPr>
        <w:t xml:space="preserve"> </w:t>
      </w:r>
      <w:r>
        <w:t>then</w:t>
      </w:r>
      <w:r>
        <w:rPr>
          <w:spacing w:val="39"/>
        </w:rPr>
        <w:t xml:space="preserve"> </w:t>
      </w:r>
      <w:r>
        <w:t>an</w:t>
      </w:r>
      <w:r>
        <w:rPr>
          <w:spacing w:val="39"/>
        </w:rPr>
        <w:t xml:space="preserve"> </w:t>
      </w:r>
      <w:r>
        <w:t>invoice</w:t>
      </w:r>
      <w:r>
        <w:rPr>
          <w:spacing w:val="21"/>
          <w:w w:val="99"/>
        </w:rPr>
        <w:t xml:space="preserve"> </w:t>
      </w:r>
      <w:r>
        <w:t>should</w:t>
      </w:r>
      <w:r>
        <w:rPr>
          <w:spacing w:val="-4"/>
        </w:rPr>
        <w:t xml:space="preserve"> </w:t>
      </w:r>
      <w:r>
        <w:t>be</w:t>
      </w:r>
      <w:r>
        <w:rPr>
          <w:spacing w:val="-3"/>
        </w:rPr>
        <w:t xml:space="preserve"> </w:t>
      </w:r>
      <w:r>
        <w:t>submitted</w:t>
      </w:r>
      <w:r>
        <w:rPr>
          <w:spacing w:val="-4"/>
        </w:rPr>
        <w:t xml:space="preserve"> </w:t>
      </w:r>
      <w:r>
        <w:t>for</w:t>
      </w:r>
      <w:r>
        <w:rPr>
          <w:spacing w:val="-2"/>
        </w:rPr>
        <w:t xml:space="preserve"> </w:t>
      </w:r>
      <w:r>
        <w:t>the</w:t>
      </w:r>
      <w:r>
        <w:rPr>
          <w:spacing w:val="-4"/>
        </w:rPr>
        <w:t xml:space="preserve"> </w:t>
      </w:r>
      <w:r>
        <w:t>work</w:t>
      </w:r>
      <w:r>
        <w:rPr>
          <w:spacing w:val="-3"/>
        </w:rPr>
        <w:t xml:space="preserve"> </w:t>
      </w:r>
      <w:r>
        <w:t>completed</w:t>
      </w:r>
      <w:r>
        <w:rPr>
          <w:spacing w:val="-4"/>
        </w:rPr>
        <w:t xml:space="preserve"> </w:t>
      </w:r>
      <w:r>
        <w:t>up</w:t>
      </w:r>
      <w:r>
        <w:rPr>
          <w:spacing w:val="-3"/>
        </w:rPr>
        <w:t xml:space="preserve"> </w:t>
      </w:r>
      <w:r>
        <w:t>to</w:t>
      </w:r>
      <w:r>
        <w:rPr>
          <w:spacing w:val="-4"/>
        </w:rPr>
        <w:t xml:space="preserve"> </w:t>
      </w:r>
      <w:r>
        <w:t>that</w:t>
      </w:r>
      <w:r>
        <w:rPr>
          <w:spacing w:val="-3"/>
        </w:rPr>
        <w:t xml:space="preserve"> </w:t>
      </w:r>
      <w:r>
        <w:t>point</w:t>
      </w:r>
      <w:r>
        <w:rPr>
          <w:spacing w:val="-3"/>
        </w:rPr>
        <w:t xml:space="preserve"> </w:t>
      </w:r>
      <w:r>
        <w:t>for</w:t>
      </w:r>
      <w:r>
        <w:rPr>
          <w:spacing w:val="-4"/>
        </w:rPr>
        <w:t xml:space="preserve"> </w:t>
      </w:r>
      <w:r>
        <w:rPr>
          <w:spacing w:val="-1"/>
        </w:rPr>
        <w:t>which</w:t>
      </w:r>
      <w:r>
        <w:rPr>
          <w:spacing w:val="-3"/>
        </w:rPr>
        <w:t xml:space="preserve"> </w:t>
      </w:r>
      <w:r w:rsidR="0064590E">
        <w:rPr>
          <w:spacing w:val="-1"/>
        </w:rPr>
        <w:t>the Nevada Department of Wildlife</w:t>
      </w:r>
      <w:r>
        <w:rPr>
          <w:spacing w:val="-4"/>
        </w:rPr>
        <w:t xml:space="preserve"> </w:t>
      </w:r>
      <w:r>
        <w:t>has</w:t>
      </w:r>
      <w:r>
        <w:rPr>
          <w:spacing w:val="-3"/>
        </w:rPr>
        <w:t xml:space="preserve"> </w:t>
      </w:r>
      <w:r>
        <w:t>not</w:t>
      </w:r>
      <w:r>
        <w:rPr>
          <w:spacing w:val="28"/>
          <w:w w:val="99"/>
        </w:rPr>
        <w:t xml:space="preserve"> </w:t>
      </w:r>
      <w:r>
        <w:t>already</w:t>
      </w:r>
      <w:r>
        <w:rPr>
          <w:spacing w:val="-11"/>
        </w:rPr>
        <w:t xml:space="preserve"> </w:t>
      </w:r>
      <w:r>
        <w:t>been</w:t>
      </w:r>
      <w:r>
        <w:rPr>
          <w:spacing w:val="-10"/>
        </w:rPr>
        <w:t xml:space="preserve"> </w:t>
      </w:r>
      <w:r>
        <w:t>invoiced.</w:t>
      </w:r>
    </w:p>
    <w:sectPr w:rsidR="00FC1A38">
      <w:pgSz w:w="12240" w:h="15840"/>
      <w:pgMar w:top="1380" w:right="1340" w:bottom="280" w:left="17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awn Espinosa" w:date="2024-06-18T08:38:00Z" w:initials="SE">
    <w:p w14:paraId="31012491" w14:textId="77777777" w:rsidR="00D57A8C" w:rsidRDefault="00D57A8C" w:rsidP="00A06469">
      <w:pPr>
        <w:pStyle w:val="CommentText"/>
      </w:pPr>
      <w:r>
        <w:rPr>
          <w:rStyle w:val="CommentReference"/>
        </w:rPr>
        <w:annotationRef/>
      </w:r>
      <w:r>
        <w:t>This bullet is similar to bullet #5. Perhaps we should put abiotic factors in one bullet and biotic factors in another.</w:t>
      </w:r>
    </w:p>
  </w:comment>
  <w:comment w:id="1" w:author="Alejandra Medina" w:date="2024-05-14T11:31:00Z" w:initials="AM">
    <w:p w14:paraId="33014D44" w14:textId="7C88D8F8" w:rsidR="001463BC" w:rsidRDefault="001463BC">
      <w:pPr>
        <w:pStyle w:val="CommentText"/>
      </w:pPr>
      <w:r>
        <w:rPr>
          <w:rStyle w:val="CommentReference"/>
        </w:rPr>
        <w:annotationRef/>
      </w:r>
      <w:r>
        <w:t>If not providing any property please use the following language:</w:t>
      </w:r>
    </w:p>
    <w:p w14:paraId="420B8EB0" w14:textId="77777777" w:rsidR="001463BC" w:rsidRDefault="001463BC" w:rsidP="0091485D">
      <w:pPr>
        <w:pStyle w:val="CommentText"/>
      </w:pPr>
      <w:r>
        <w:t>-</w:t>
      </w:r>
      <w:r>
        <w:rPr>
          <w:color w:val="3333FF"/>
        </w:rPr>
        <w:t>No government furnished property is being provided by the Nevada Department of Wildlife.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012491" w15:done="1"/>
  <w15:commentEx w15:paraId="420B8E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1BC604" w16cex:dateUtc="2024-06-18T15:38:00Z"/>
  <w16cex:commentExtensible w16cex:durableId="29EDCA0F" w16cex:dateUtc="2024-05-14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012491" w16cid:durableId="2A1BC604"/>
  <w16cid:commentId w16cid:paraId="420B8EB0" w16cid:durableId="29EDCA0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55E3"/>
    <w:multiLevelType w:val="hybridMultilevel"/>
    <w:tmpl w:val="4948BAB8"/>
    <w:lvl w:ilvl="0" w:tplc="AF9C878A">
      <w:start w:val="1"/>
      <w:numFmt w:val="decimal"/>
      <w:lvlText w:val="%1."/>
      <w:lvlJc w:val="left"/>
      <w:pPr>
        <w:ind w:left="840" w:hanging="361"/>
        <w:jc w:val="right"/>
      </w:pPr>
      <w:rPr>
        <w:rFonts w:ascii="Arial" w:eastAsia="Arial" w:hAnsi="Arial" w:cs="Arial" w:hint="default"/>
        <w:w w:val="99"/>
        <w:sz w:val="22"/>
        <w:szCs w:val="22"/>
      </w:rPr>
    </w:lvl>
    <w:lvl w:ilvl="1" w:tplc="DB48DC54">
      <w:start w:val="1"/>
      <w:numFmt w:val="upperLetter"/>
      <w:lvlText w:val="%2."/>
      <w:lvlJc w:val="left"/>
      <w:pPr>
        <w:ind w:left="1559" w:hanging="361"/>
        <w:jc w:val="right"/>
      </w:pPr>
      <w:rPr>
        <w:rFonts w:ascii="Arial" w:eastAsia="Arial" w:hAnsi="Arial" w:hint="default"/>
        <w:w w:val="99"/>
        <w:sz w:val="22"/>
        <w:szCs w:val="22"/>
      </w:rPr>
    </w:lvl>
    <w:lvl w:ilvl="2" w:tplc="34B2DA28">
      <w:start w:val="1"/>
      <w:numFmt w:val="bullet"/>
      <w:lvlText w:val="•"/>
      <w:lvlJc w:val="left"/>
      <w:pPr>
        <w:ind w:left="840" w:hanging="361"/>
      </w:pPr>
      <w:rPr>
        <w:rFonts w:hint="default"/>
      </w:rPr>
    </w:lvl>
    <w:lvl w:ilvl="3" w:tplc="D382B7B2">
      <w:start w:val="1"/>
      <w:numFmt w:val="bullet"/>
      <w:lvlText w:val="•"/>
      <w:lvlJc w:val="left"/>
      <w:pPr>
        <w:ind w:left="1059" w:hanging="361"/>
      </w:pPr>
      <w:rPr>
        <w:rFonts w:hint="default"/>
      </w:rPr>
    </w:lvl>
    <w:lvl w:ilvl="4" w:tplc="DA2C66D6">
      <w:start w:val="1"/>
      <w:numFmt w:val="bullet"/>
      <w:lvlText w:val="•"/>
      <w:lvlJc w:val="left"/>
      <w:pPr>
        <w:ind w:left="1559" w:hanging="361"/>
      </w:pPr>
      <w:rPr>
        <w:rFonts w:hint="default"/>
      </w:rPr>
    </w:lvl>
    <w:lvl w:ilvl="5" w:tplc="9CF4D090">
      <w:start w:val="1"/>
      <w:numFmt w:val="bullet"/>
      <w:lvlText w:val="•"/>
      <w:lvlJc w:val="left"/>
      <w:pPr>
        <w:ind w:left="2829" w:hanging="361"/>
      </w:pPr>
      <w:rPr>
        <w:rFonts w:hint="default"/>
      </w:rPr>
    </w:lvl>
    <w:lvl w:ilvl="6" w:tplc="CCF0A41A">
      <w:start w:val="1"/>
      <w:numFmt w:val="bullet"/>
      <w:lvlText w:val="•"/>
      <w:lvlJc w:val="left"/>
      <w:pPr>
        <w:ind w:left="4099" w:hanging="361"/>
      </w:pPr>
      <w:rPr>
        <w:rFonts w:hint="default"/>
      </w:rPr>
    </w:lvl>
    <w:lvl w:ilvl="7" w:tplc="F8C66334">
      <w:start w:val="1"/>
      <w:numFmt w:val="bullet"/>
      <w:lvlText w:val="•"/>
      <w:lvlJc w:val="left"/>
      <w:pPr>
        <w:ind w:left="5369" w:hanging="361"/>
      </w:pPr>
      <w:rPr>
        <w:rFonts w:hint="default"/>
      </w:rPr>
    </w:lvl>
    <w:lvl w:ilvl="8" w:tplc="44281C74">
      <w:start w:val="1"/>
      <w:numFmt w:val="bullet"/>
      <w:lvlText w:val="•"/>
      <w:lvlJc w:val="left"/>
      <w:pPr>
        <w:ind w:left="6639" w:hanging="361"/>
      </w:pPr>
      <w:rPr>
        <w:rFonts w:hint="default"/>
      </w:rPr>
    </w:lvl>
  </w:abstractNum>
  <w:abstractNum w:abstractNumId="1" w15:restartNumberingAfterBreak="0">
    <w:nsid w:val="07487B4A"/>
    <w:multiLevelType w:val="hybridMultilevel"/>
    <w:tmpl w:val="45E00802"/>
    <w:lvl w:ilvl="0" w:tplc="766A2838">
      <w:start w:val="1"/>
      <w:numFmt w:val="bullet"/>
      <w:lvlText w:val=""/>
      <w:lvlJc w:val="left"/>
      <w:pPr>
        <w:ind w:left="840" w:hanging="361"/>
      </w:pPr>
      <w:rPr>
        <w:rFonts w:ascii="Symbol" w:eastAsia="Symbol" w:hAnsi="Symbol" w:hint="default"/>
        <w:w w:val="99"/>
        <w:sz w:val="22"/>
        <w:szCs w:val="22"/>
      </w:rPr>
    </w:lvl>
    <w:lvl w:ilvl="1" w:tplc="59BC1B0A">
      <w:start w:val="1"/>
      <w:numFmt w:val="bullet"/>
      <w:lvlText w:val="•"/>
      <w:lvlJc w:val="left"/>
      <w:pPr>
        <w:ind w:left="1716" w:hanging="361"/>
      </w:pPr>
      <w:rPr>
        <w:rFonts w:hint="default"/>
      </w:rPr>
    </w:lvl>
    <w:lvl w:ilvl="2" w:tplc="8E84D14E">
      <w:start w:val="1"/>
      <w:numFmt w:val="bullet"/>
      <w:lvlText w:val="•"/>
      <w:lvlJc w:val="left"/>
      <w:pPr>
        <w:ind w:left="2592" w:hanging="361"/>
      </w:pPr>
      <w:rPr>
        <w:rFonts w:hint="default"/>
      </w:rPr>
    </w:lvl>
    <w:lvl w:ilvl="3" w:tplc="53147DFC">
      <w:start w:val="1"/>
      <w:numFmt w:val="bullet"/>
      <w:lvlText w:val="•"/>
      <w:lvlJc w:val="left"/>
      <w:pPr>
        <w:ind w:left="3468" w:hanging="361"/>
      </w:pPr>
      <w:rPr>
        <w:rFonts w:hint="default"/>
      </w:rPr>
    </w:lvl>
    <w:lvl w:ilvl="4" w:tplc="960E069E">
      <w:start w:val="1"/>
      <w:numFmt w:val="bullet"/>
      <w:lvlText w:val="•"/>
      <w:lvlJc w:val="left"/>
      <w:pPr>
        <w:ind w:left="4344" w:hanging="361"/>
      </w:pPr>
      <w:rPr>
        <w:rFonts w:hint="default"/>
      </w:rPr>
    </w:lvl>
    <w:lvl w:ilvl="5" w:tplc="1CC2A026">
      <w:start w:val="1"/>
      <w:numFmt w:val="bullet"/>
      <w:lvlText w:val="•"/>
      <w:lvlJc w:val="left"/>
      <w:pPr>
        <w:ind w:left="5220" w:hanging="361"/>
      </w:pPr>
      <w:rPr>
        <w:rFonts w:hint="default"/>
      </w:rPr>
    </w:lvl>
    <w:lvl w:ilvl="6" w:tplc="5C2C6E58">
      <w:start w:val="1"/>
      <w:numFmt w:val="bullet"/>
      <w:lvlText w:val="•"/>
      <w:lvlJc w:val="left"/>
      <w:pPr>
        <w:ind w:left="6096" w:hanging="361"/>
      </w:pPr>
      <w:rPr>
        <w:rFonts w:hint="default"/>
      </w:rPr>
    </w:lvl>
    <w:lvl w:ilvl="7" w:tplc="9D684E80">
      <w:start w:val="1"/>
      <w:numFmt w:val="bullet"/>
      <w:lvlText w:val="•"/>
      <w:lvlJc w:val="left"/>
      <w:pPr>
        <w:ind w:left="6972" w:hanging="361"/>
      </w:pPr>
      <w:rPr>
        <w:rFonts w:hint="default"/>
      </w:rPr>
    </w:lvl>
    <w:lvl w:ilvl="8" w:tplc="1126391A">
      <w:start w:val="1"/>
      <w:numFmt w:val="bullet"/>
      <w:lvlText w:val="•"/>
      <w:lvlJc w:val="left"/>
      <w:pPr>
        <w:ind w:left="7848" w:hanging="361"/>
      </w:pPr>
      <w:rPr>
        <w:rFonts w:hint="default"/>
      </w:rPr>
    </w:lvl>
  </w:abstractNum>
  <w:abstractNum w:abstractNumId="2" w15:restartNumberingAfterBreak="0">
    <w:nsid w:val="240500CD"/>
    <w:multiLevelType w:val="hybridMultilevel"/>
    <w:tmpl w:val="9D204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0F74EB"/>
    <w:multiLevelType w:val="hybridMultilevel"/>
    <w:tmpl w:val="56488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0AC7192"/>
    <w:multiLevelType w:val="hybridMultilevel"/>
    <w:tmpl w:val="617EB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5683661">
    <w:abstractNumId w:val="0"/>
  </w:num>
  <w:num w:numId="2" w16cid:durableId="604583613">
    <w:abstractNumId w:val="1"/>
  </w:num>
  <w:num w:numId="3" w16cid:durableId="1599174729">
    <w:abstractNumId w:val="2"/>
  </w:num>
  <w:num w:numId="4" w16cid:durableId="1545602953">
    <w:abstractNumId w:val="4"/>
  </w:num>
  <w:num w:numId="5" w16cid:durableId="5860045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wn Espinosa">
    <w15:presenceInfo w15:providerId="AD" w15:userId="S::sespinosa@ndow.org::e9d1182b-33b7-4e0c-9e68-43fc58dc73bf"/>
  </w15:person>
  <w15:person w15:author="Alejandra Medina">
    <w15:presenceInfo w15:providerId="AD" w15:userId="S::amedina@ndow.org::7592495c-17e6-4a7d-8bee-34c6eea2a7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38"/>
    <w:rsid w:val="00063D5B"/>
    <w:rsid w:val="001463BC"/>
    <w:rsid w:val="00180868"/>
    <w:rsid w:val="001948BA"/>
    <w:rsid w:val="001B3AFB"/>
    <w:rsid w:val="001C41B0"/>
    <w:rsid w:val="00264D44"/>
    <w:rsid w:val="00326B25"/>
    <w:rsid w:val="00344E28"/>
    <w:rsid w:val="00422455"/>
    <w:rsid w:val="00484880"/>
    <w:rsid w:val="004A3EEA"/>
    <w:rsid w:val="005E44BD"/>
    <w:rsid w:val="00627896"/>
    <w:rsid w:val="0064590E"/>
    <w:rsid w:val="00692BF7"/>
    <w:rsid w:val="006D4724"/>
    <w:rsid w:val="00762A96"/>
    <w:rsid w:val="007B309F"/>
    <w:rsid w:val="007F4DF3"/>
    <w:rsid w:val="007F548B"/>
    <w:rsid w:val="00877C31"/>
    <w:rsid w:val="00880A6D"/>
    <w:rsid w:val="00881987"/>
    <w:rsid w:val="008D53B2"/>
    <w:rsid w:val="00930B00"/>
    <w:rsid w:val="00982419"/>
    <w:rsid w:val="00995E57"/>
    <w:rsid w:val="009D7315"/>
    <w:rsid w:val="00A57E21"/>
    <w:rsid w:val="00B01E7B"/>
    <w:rsid w:val="00C07743"/>
    <w:rsid w:val="00C81D6E"/>
    <w:rsid w:val="00D3790D"/>
    <w:rsid w:val="00D57A8C"/>
    <w:rsid w:val="00D7267A"/>
    <w:rsid w:val="00E63DA3"/>
    <w:rsid w:val="00EC68D1"/>
    <w:rsid w:val="00F12666"/>
    <w:rsid w:val="00F31033"/>
    <w:rsid w:val="00FB010A"/>
    <w:rsid w:val="00FC1A38"/>
    <w:rsid w:val="00FC64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48AD1"/>
  <w15:docId w15:val="{AE6A11BA-4752-4B91-87CD-45AF2F65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rFonts w:ascii="Arial" w:eastAsia="Arial" w:hAnsi="Arial"/>
    </w:rPr>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C68D1"/>
    <w:rPr>
      <w:color w:val="0000FF" w:themeColor="hyperlink"/>
      <w:u w:val="single"/>
    </w:rPr>
  </w:style>
  <w:style w:type="character" w:styleId="UnresolvedMention">
    <w:name w:val="Unresolved Mention"/>
    <w:basedOn w:val="DefaultParagraphFont"/>
    <w:uiPriority w:val="99"/>
    <w:semiHidden/>
    <w:unhideWhenUsed/>
    <w:rsid w:val="00880A6D"/>
    <w:rPr>
      <w:color w:val="605E5C"/>
      <w:shd w:val="clear" w:color="auto" w:fill="E1DFDD"/>
    </w:rPr>
  </w:style>
  <w:style w:type="character" w:styleId="CommentReference">
    <w:name w:val="annotation reference"/>
    <w:basedOn w:val="DefaultParagraphFont"/>
    <w:uiPriority w:val="99"/>
    <w:semiHidden/>
    <w:unhideWhenUsed/>
    <w:rsid w:val="008D53B2"/>
    <w:rPr>
      <w:sz w:val="16"/>
      <w:szCs w:val="16"/>
    </w:rPr>
  </w:style>
  <w:style w:type="paragraph" w:styleId="CommentText">
    <w:name w:val="annotation text"/>
    <w:basedOn w:val="Normal"/>
    <w:link w:val="CommentTextChar"/>
    <w:uiPriority w:val="99"/>
    <w:unhideWhenUsed/>
    <w:rsid w:val="008D53B2"/>
    <w:rPr>
      <w:sz w:val="20"/>
      <w:szCs w:val="20"/>
    </w:rPr>
  </w:style>
  <w:style w:type="character" w:customStyle="1" w:styleId="CommentTextChar">
    <w:name w:val="Comment Text Char"/>
    <w:basedOn w:val="DefaultParagraphFont"/>
    <w:link w:val="CommentText"/>
    <w:uiPriority w:val="99"/>
    <w:rsid w:val="008D53B2"/>
    <w:rPr>
      <w:sz w:val="20"/>
      <w:szCs w:val="20"/>
    </w:rPr>
  </w:style>
  <w:style w:type="paragraph" w:styleId="CommentSubject">
    <w:name w:val="annotation subject"/>
    <w:basedOn w:val="CommentText"/>
    <w:next w:val="CommentText"/>
    <w:link w:val="CommentSubjectChar"/>
    <w:uiPriority w:val="99"/>
    <w:semiHidden/>
    <w:unhideWhenUsed/>
    <w:rsid w:val="008D53B2"/>
    <w:rPr>
      <w:b/>
      <w:bCs/>
    </w:rPr>
  </w:style>
  <w:style w:type="character" w:customStyle="1" w:styleId="CommentSubjectChar">
    <w:name w:val="Comment Subject Char"/>
    <w:basedOn w:val="CommentTextChar"/>
    <w:link w:val="CommentSubject"/>
    <w:uiPriority w:val="99"/>
    <w:semiHidden/>
    <w:rsid w:val="008D53B2"/>
    <w:rPr>
      <w:b/>
      <w:bCs/>
      <w:sz w:val="20"/>
      <w:szCs w:val="20"/>
    </w:rPr>
  </w:style>
  <w:style w:type="table" w:styleId="TableGrid">
    <w:name w:val="Table Grid"/>
    <w:basedOn w:val="TableNormal"/>
    <w:uiPriority w:val="59"/>
    <w:rsid w:val="00146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627896"/>
    <w:rPr>
      <w:rFonts w:ascii="Segoe UI" w:hAnsi="Segoe UI" w:cs="Segoe UI" w:hint="default"/>
      <w:sz w:val="18"/>
      <w:szCs w:val="18"/>
    </w:rPr>
  </w:style>
  <w:style w:type="character" w:customStyle="1" w:styleId="cf11">
    <w:name w:val="cf11"/>
    <w:basedOn w:val="DefaultParagraphFont"/>
    <w:rsid w:val="00627896"/>
    <w:rPr>
      <w:rFonts w:ascii="Segoe UI" w:hAnsi="Segoe UI" w:cs="Segoe UI" w:hint="default"/>
      <w:color w:val="3333FF"/>
      <w:sz w:val="18"/>
      <w:szCs w:val="18"/>
    </w:rPr>
  </w:style>
  <w:style w:type="paragraph" w:styleId="Revision">
    <w:name w:val="Revision"/>
    <w:hidden/>
    <w:uiPriority w:val="99"/>
    <w:semiHidden/>
    <w:rsid w:val="00FC643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schroeder@ndow.org"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mailto:amedina@ndow.org" TargetMode="Externa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hyperlink" Target="http://www.sam.gov" TargetMode="External"/><Relationship Id="rId14" Type="http://schemas.openxmlformats.org/officeDocument/2006/relationships/hyperlink" Target="https://www.ndow.org/wp-content/uploads/2021/12/NDOW-GRANTS-MANUAL-4.17.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7934575B8544D801581D250394F66" ma:contentTypeVersion="17" ma:contentTypeDescription="Create a new document." ma:contentTypeScope="" ma:versionID="44811be74d0824dd6cef00712ceb06bd">
  <xsd:schema xmlns:xsd="http://www.w3.org/2001/XMLSchema" xmlns:xs="http://www.w3.org/2001/XMLSchema" xmlns:p="http://schemas.microsoft.com/office/2006/metadata/properties" xmlns:ns2="aa6d6a4c-76ea-4555-8dee-d145436d9ff7" xmlns:ns3="516b8590-d7b4-4965-80f0-13162f5305f3" targetNamespace="http://schemas.microsoft.com/office/2006/metadata/properties" ma:root="true" ma:fieldsID="ebca3196f63577a61bcd0e037218586e" ns2:_="" ns3:_="">
    <xsd:import namespace="aa6d6a4c-76ea-4555-8dee-d145436d9ff7"/>
    <xsd:import namespace="516b8590-d7b4-4965-80f0-13162f5305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d6a4c-76ea-4555-8dee-d145436d9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6b8590-d7b4-4965-80f0-13162f5305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53ef6ea-bf1a-44b2-b67b-f3a7c01ba0da}" ma:internalName="TaxCatchAll" ma:showField="CatchAllData" ma:web="516b8590-d7b4-4965-80f0-13162f5305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6d6a4c-76ea-4555-8dee-d145436d9ff7">
      <Terms xmlns="http://schemas.microsoft.com/office/infopath/2007/PartnerControls"/>
    </lcf76f155ced4ddcb4097134ff3c332f>
    <TaxCatchAll xmlns="516b8590-d7b4-4965-80f0-13162f5305f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DA3B66-56A1-4022-80D7-21307338E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d6a4c-76ea-4555-8dee-d145436d9ff7"/>
    <ds:schemaRef ds:uri="516b8590-d7b4-4965-80f0-13162f530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FBE15-7DE0-41A0-AE2B-6D46E12E3F6A}">
  <ds:schemaRefs>
    <ds:schemaRef ds:uri="http://schemas.microsoft.com/office/2006/metadata/properties"/>
    <ds:schemaRef ds:uri="http://schemas.microsoft.com/office/infopath/2007/PartnerControls"/>
    <ds:schemaRef ds:uri="aa6d6a4c-76ea-4555-8dee-d145436d9ff7"/>
    <ds:schemaRef ds:uri="516b8590-d7b4-4965-80f0-13162f5305f3"/>
  </ds:schemaRefs>
</ds:datastoreItem>
</file>

<file path=customXml/itemProps3.xml><?xml version="1.0" encoding="utf-8"?>
<ds:datastoreItem xmlns:ds="http://schemas.openxmlformats.org/officeDocument/2006/customXml" ds:itemID="{11145299-6128-4761-98E2-AD6A2783BB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Microsoft Word - Grant_Opp_Medusahead_FY18</vt:lpstr>
    </vt:vector>
  </TitlesOfParts>
  <Company>NDOW</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Grant_Opp_Medusahead_FY18</dc:title>
  <dc:creator>Kailey Taylor</dc:creator>
  <cp:lastModifiedBy>Cody Schroeder</cp:lastModifiedBy>
  <cp:revision>2</cp:revision>
  <dcterms:created xsi:type="dcterms:W3CDTF">2025-07-22T20:40:00Z</dcterms:created>
  <dcterms:modified xsi:type="dcterms:W3CDTF">2025-07-22T20:40:00Z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LastSaved">
    <vt:filetime>2018-06-21T00:00:00Z</vt:filetime>
  </property>
  <property fmtid="{D5CDD505-2E9C-101B-9397-08002B2CF9AE}" pid="4" name="ContentTypeId">
    <vt:lpwstr>0x0101002047934575B8544D801581D250394F66</vt:lpwstr>
  </property>
</Properties>
</file>